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72" w:rsidRPr="00372D5B" w:rsidRDefault="00956C72" w:rsidP="00956C72">
      <w:pPr>
        <w:jc w:val="left"/>
        <w:rPr>
          <w:rFonts w:ascii="Arial" w:hAnsi="Arial" w:cs="Arial"/>
          <w:b/>
          <w:sz w:val="32"/>
          <w:szCs w:val="28"/>
          <w:lang w:val="en-GB"/>
        </w:rPr>
      </w:pPr>
      <w:r w:rsidRPr="00372D5B">
        <w:rPr>
          <w:rFonts w:ascii="Arial" w:hAnsi="Arial" w:cs="Arial"/>
          <w:b/>
          <w:sz w:val="32"/>
          <w:szCs w:val="28"/>
          <w:lang w:val="en-GB"/>
        </w:rPr>
        <w:t>Final publishable summary report</w:t>
      </w:r>
    </w:p>
    <w:p w:rsidR="00956C72" w:rsidRDefault="00956C72" w:rsidP="00956C72">
      <w:pPr>
        <w:autoSpaceDE w:val="0"/>
        <w:autoSpaceDN w:val="0"/>
        <w:adjustRightInd w:val="0"/>
      </w:pPr>
    </w:p>
    <w:p w:rsidR="00956C72" w:rsidRPr="00503456" w:rsidRDefault="00956C72" w:rsidP="00956C72">
      <w:pPr>
        <w:autoSpaceDE w:val="0"/>
        <w:autoSpaceDN w:val="0"/>
        <w:adjustRightInd w:val="0"/>
        <w:spacing w:after="0"/>
        <w:jc w:val="left"/>
        <w:rPr>
          <w:rFonts w:ascii="Arial" w:hAnsi="Arial"/>
          <w:b/>
        </w:rPr>
      </w:pPr>
      <w:r w:rsidRPr="00503456">
        <w:rPr>
          <w:rFonts w:ascii="Arial" w:hAnsi="Arial"/>
          <w:b/>
        </w:rPr>
        <w:t xml:space="preserve">The </w:t>
      </w:r>
      <w:proofErr w:type="spellStart"/>
      <w:r w:rsidRPr="00503456">
        <w:rPr>
          <w:rFonts w:ascii="Arial" w:hAnsi="Arial"/>
          <w:b/>
        </w:rPr>
        <w:t>TuMIC</w:t>
      </w:r>
      <w:proofErr w:type="spellEnd"/>
      <w:r w:rsidRPr="00503456">
        <w:rPr>
          <w:rFonts w:ascii="Arial" w:hAnsi="Arial"/>
          <w:b/>
        </w:rPr>
        <w:t xml:space="preserve"> Consortium</w:t>
      </w:r>
    </w:p>
    <w:p w:rsidR="00956C72" w:rsidRDefault="00956C72" w:rsidP="00956C72">
      <w:pPr>
        <w:autoSpaceDE w:val="0"/>
        <w:autoSpaceDN w:val="0"/>
        <w:adjustRightInd w:val="0"/>
        <w:spacing w:after="0"/>
      </w:pPr>
    </w:p>
    <w:p w:rsidR="00956C72" w:rsidRDefault="00956C72" w:rsidP="00956C72">
      <w:pPr>
        <w:numPr>
          <w:ilvl w:val="0"/>
          <w:numId w:val="1"/>
        </w:numPr>
        <w:autoSpaceDE w:val="0"/>
        <w:autoSpaceDN w:val="0"/>
        <w:adjustRightInd w:val="0"/>
        <w:spacing w:after="0"/>
        <w:ind w:left="720" w:hanging="360"/>
      </w:pPr>
      <w:r w:rsidRPr="004E39D7">
        <w:t>The address</w:t>
      </w:r>
      <w:r>
        <w:t xml:space="preserve"> of the project public website:</w:t>
      </w:r>
    </w:p>
    <w:p w:rsidR="00956C72" w:rsidRDefault="00956C72" w:rsidP="00956C72">
      <w:pPr>
        <w:autoSpaceDE w:val="0"/>
        <w:autoSpaceDN w:val="0"/>
        <w:adjustRightInd w:val="0"/>
        <w:rPr>
          <w:b/>
        </w:rPr>
      </w:pPr>
      <w:r w:rsidRPr="00070832">
        <w:rPr>
          <w:b/>
        </w:rPr>
        <w:t xml:space="preserve">             http://www.umm.uni-heidelberg.de/inst/cbtm/mbio/tumic/</w:t>
      </w:r>
    </w:p>
    <w:p w:rsidR="00956C72" w:rsidRDefault="00956C72" w:rsidP="00956C72">
      <w:pPr>
        <w:numPr>
          <w:ilvl w:val="0"/>
          <w:numId w:val="1"/>
        </w:numPr>
        <w:autoSpaceDE w:val="0"/>
        <w:autoSpaceDN w:val="0"/>
        <w:adjustRightInd w:val="0"/>
        <w:ind w:left="720" w:hanging="360"/>
      </w:pPr>
      <w:r>
        <w:t>Coordinator contact details:</w:t>
      </w:r>
    </w:p>
    <w:p w:rsidR="00956C72" w:rsidRPr="00956C72" w:rsidRDefault="00956C72" w:rsidP="00956C72">
      <w:pPr>
        <w:autoSpaceDE w:val="0"/>
        <w:autoSpaceDN w:val="0"/>
        <w:adjustRightInd w:val="0"/>
        <w:spacing w:after="0"/>
        <w:ind w:left="360"/>
        <w:jc w:val="left"/>
        <w:rPr>
          <w:rStyle w:val="skypepnhmark"/>
          <w:lang w:val="de-DE"/>
        </w:rPr>
      </w:pPr>
      <w:r w:rsidRPr="00686AF7">
        <w:rPr>
          <w:bCs/>
        </w:rPr>
        <w:t>Prof. Dr. Jonathan Sleeman</w:t>
      </w:r>
      <w:r w:rsidRPr="00686AF7">
        <w:br/>
        <w:t>University of Heidelberg, Medical Faculty Mannheim</w:t>
      </w:r>
      <w:proofErr w:type="gramStart"/>
      <w:r w:rsidRPr="00686AF7">
        <w:t>,</w:t>
      </w:r>
      <w:proofErr w:type="gramEnd"/>
      <w:r w:rsidRPr="00686AF7">
        <w:br/>
        <w:t>Centre for Biomedicine and Medical Technology Mannheim (CBTM)</w:t>
      </w:r>
      <w:r w:rsidRPr="00686AF7">
        <w:br/>
      </w:r>
      <w:proofErr w:type="spellStart"/>
      <w:r w:rsidRPr="00686AF7">
        <w:t>Ludolf-Krehl-Str</w:t>
      </w:r>
      <w:proofErr w:type="spellEnd"/>
      <w:r w:rsidRPr="00686AF7">
        <w:t xml:space="preserve">. </w:t>
      </w:r>
      <w:r w:rsidRPr="00956C72">
        <w:rPr>
          <w:lang w:val="de-DE"/>
        </w:rPr>
        <w:t>13 - 17</w:t>
      </w:r>
      <w:r w:rsidRPr="00956C72">
        <w:rPr>
          <w:lang w:val="de-DE"/>
        </w:rPr>
        <w:br/>
        <w:t>D-68167 Mannheim, Germany</w:t>
      </w:r>
      <w:r w:rsidRPr="00956C72">
        <w:rPr>
          <w:lang w:val="de-DE"/>
        </w:rPr>
        <w:br/>
        <w:t xml:space="preserve">Tel: </w:t>
      </w:r>
      <w:r w:rsidRPr="00956C72">
        <w:rPr>
          <w:rStyle w:val="skypepnhprintcontainer"/>
          <w:lang w:val="de-DE"/>
        </w:rPr>
        <w:t>+49 621 383 9955</w:t>
      </w:r>
      <w:r w:rsidRPr="00956C72">
        <w:rPr>
          <w:rStyle w:val="skypepnhmark"/>
          <w:lang w:val="de-DE"/>
        </w:rPr>
        <w:t xml:space="preserve"> </w:t>
      </w:r>
    </w:p>
    <w:p w:rsidR="00956C72" w:rsidRPr="00EF28DD" w:rsidRDefault="00956C72" w:rsidP="00956C72">
      <w:pPr>
        <w:autoSpaceDE w:val="0"/>
        <w:autoSpaceDN w:val="0"/>
        <w:adjustRightInd w:val="0"/>
        <w:spacing w:after="0"/>
        <w:ind w:left="360"/>
        <w:jc w:val="left"/>
        <w:rPr>
          <w:lang w:val="de-DE"/>
        </w:rPr>
      </w:pPr>
      <w:r w:rsidRPr="00EF28DD">
        <w:rPr>
          <w:lang w:val="de-DE"/>
        </w:rPr>
        <w:t>E-</w:t>
      </w:r>
      <w:proofErr w:type="spellStart"/>
      <w:r w:rsidRPr="00EF28DD">
        <w:rPr>
          <w:lang w:val="de-DE"/>
        </w:rPr>
        <w:t>mail</w:t>
      </w:r>
      <w:proofErr w:type="spellEnd"/>
      <w:r w:rsidRPr="00EF28DD">
        <w:rPr>
          <w:lang w:val="de-DE"/>
        </w:rPr>
        <w:t>: sleeman@medma.uni-heidelberg.de</w:t>
      </w:r>
    </w:p>
    <w:p w:rsidR="00956C72" w:rsidRPr="00EF28DD" w:rsidRDefault="00956C72" w:rsidP="00956C72">
      <w:pPr>
        <w:autoSpaceDE w:val="0"/>
        <w:autoSpaceDN w:val="0"/>
        <w:adjustRightInd w:val="0"/>
        <w:spacing w:after="0"/>
        <w:jc w:val="left"/>
        <w:rPr>
          <w:lang w:val="de-DE"/>
        </w:rPr>
      </w:pPr>
      <w:r>
        <w:rPr>
          <w:noProof/>
          <w:lang w:val="de-DE" w:eastAsia="de-DE"/>
        </w:rPr>
        <w:drawing>
          <wp:anchor distT="0" distB="0" distL="114300" distR="114300" simplePos="0" relativeHeight="251660288" behindDoc="1" locked="0" layoutInCell="1" allowOverlap="1">
            <wp:simplePos x="0" y="0"/>
            <wp:positionH relativeFrom="column">
              <wp:posOffset>1828800</wp:posOffset>
            </wp:positionH>
            <wp:positionV relativeFrom="paragraph">
              <wp:posOffset>167640</wp:posOffset>
            </wp:positionV>
            <wp:extent cx="948055" cy="478155"/>
            <wp:effectExtent l="19050" t="0" r="4445" b="0"/>
            <wp:wrapNone/>
            <wp:docPr id="2" name="Picture 4" descr="Description: tumi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umiclogo3"/>
                    <pic:cNvPicPr>
                      <a:picLocks noChangeAspect="1" noChangeArrowheads="1"/>
                    </pic:cNvPicPr>
                  </pic:nvPicPr>
                  <pic:blipFill>
                    <a:blip r:embed="rId5" cstate="print"/>
                    <a:srcRect/>
                    <a:stretch>
                      <a:fillRect/>
                    </a:stretch>
                  </pic:blipFill>
                  <pic:spPr bwMode="auto">
                    <a:xfrm>
                      <a:off x="0" y="0"/>
                      <a:ext cx="948055" cy="478155"/>
                    </a:xfrm>
                    <a:prstGeom prst="rect">
                      <a:avLst/>
                    </a:prstGeom>
                    <a:noFill/>
                    <a:ln w="9525">
                      <a:noFill/>
                      <a:miter lim="800000"/>
                      <a:headEnd/>
                      <a:tailEnd/>
                    </a:ln>
                  </pic:spPr>
                </pic:pic>
              </a:graphicData>
            </a:graphic>
          </wp:anchor>
        </w:drawing>
      </w:r>
    </w:p>
    <w:p w:rsidR="00956C72" w:rsidRDefault="00956C72" w:rsidP="00956C72">
      <w:pPr>
        <w:numPr>
          <w:ilvl w:val="0"/>
          <w:numId w:val="1"/>
        </w:numPr>
        <w:autoSpaceDE w:val="0"/>
        <w:autoSpaceDN w:val="0"/>
        <w:adjustRightInd w:val="0"/>
        <w:spacing w:after="0"/>
        <w:ind w:left="720" w:hanging="360"/>
      </w:pPr>
      <w:r>
        <w:t>Project logo</w:t>
      </w:r>
    </w:p>
    <w:p w:rsidR="00956C72" w:rsidRDefault="00956C72" w:rsidP="00956C72">
      <w:pPr>
        <w:autoSpaceDE w:val="0"/>
        <w:autoSpaceDN w:val="0"/>
        <w:adjustRightInd w:val="0"/>
        <w:spacing w:after="0"/>
      </w:pPr>
    </w:p>
    <w:p w:rsidR="00956C72" w:rsidRDefault="00956C72" w:rsidP="00956C72">
      <w:pPr>
        <w:autoSpaceDE w:val="0"/>
        <w:autoSpaceDN w:val="0"/>
        <w:adjustRightInd w:val="0"/>
        <w:spacing w:after="0"/>
      </w:pPr>
      <w:r>
        <w:t xml:space="preserve">            </w:t>
      </w:r>
    </w:p>
    <w:p w:rsidR="00956C72" w:rsidRDefault="00956C72" w:rsidP="00956C72">
      <w:pPr>
        <w:autoSpaceDE w:val="0"/>
        <w:autoSpaceDN w:val="0"/>
        <w:adjustRightInd w:val="0"/>
        <w:spacing w:after="0"/>
      </w:pPr>
    </w:p>
    <w:p w:rsidR="00956C72" w:rsidRDefault="00956C72" w:rsidP="00956C72">
      <w:pPr>
        <w:numPr>
          <w:ilvl w:val="0"/>
          <w:numId w:val="1"/>
        </w:numPr>
        <w:autoSpaceDE w:val="0"/>
        <w:autoSpaceDN w:val="0"/>
        <w:adjustRightInd w:val="0"/>
        <w:spacing w:after="0"/>
        <w:ind w:left="720" w:hanging="360"/>
      </w:pPr>
      <w:r>
        <w:t>L</w:t>
      </w:r>
      <w:r w:rsidRPr="004E39D7">
        <w:t xml:space="preserve">ist of all beneficiaries with the corresponding contact names </w:t>
      </w:r>
    </w:p>
    <w:p w:rsidR="00956C72" w:rsidRDefault="00956C72" w:rsidP="00956C72">
      <w:pPr>
        <w:autoSpaceDE w:val="0"/>
        <w:autoSpaceDN w:val="0"/>
        <w:adjustRightInd w:val="0"/>
        <w:spacing w:after="0"/>
      </w:pPr>
    </w:p>
    <w:tbl>
      <w:tblPr>
        <w:tblW w:w="8318" w:type="dxa"/>
        <w:tblCellSpacing w:w="15" w:type="dxa"/>
        <w:tblInd w:w="426" w:type="dxa"/>
        <w:tblCellMar>
          <w:top w:w="15" w:type="dxa"/>
          <w:left w:w="15" w:type="dxa"/>
          <w:bottom w:w="15" w:type="dxa"/>
          <w:right w:w="15" w:type="dxa"/>
        </w:tblCellMar>
        <w:tblLook w:val="0000"/>
      </w:tblPr>
      <w:tblGrid>
        <w:gridCol w:w="4155"/>
        <w:gridCol w:w="1358"/>
        <w:gridCol w:w="2805"/>
      </w:tblGrid>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b/>
                <w:bCs/>
                <w:sz w:val="20"/>
                <w:szCs w:val="20"/>
                <w:lang w:val="de-DE" w:eastAsia="de-DE"/>
              </w:rPr>
              <w:t>Participant</w:t>
            </w:r>
            <w:proofErr w:type="spellEnd"/>
            <w:r w:rsidRPr="009E529B">
              <w:rPr>
                <w:b/>
                <w:bCs/>
                <w:sz w:val="20"/>
                <w:szCs w:val="20"/>
                <w:lang w:val="de-DE" w:eastAsia="de-DE"/>
              </w:rPr>
              <w:t xml:space="preserve"> </w:t>
            </w:r>
            <w:proofErr w:type="spellStart"/>
            <w:r w:rsidRPr="009E529B">
              <w:rPr>
                <w:b/>
                <w:bCs/>
                <w:sz w:val="20"/>
                <w:szCs w:val="20"/>
                <w:lang w:val="de-DE" w:eastAsia="de-DE"/>
              </w:rPr>
              <w:t>name</w:t>
            </w:r>
            <w:proofErr w:type="spellEnd"/>
          </w:p>
        </w:tc>
        <w:tc>
          <w:tcPr>
            <w:tcW w:w="1328" w:type="dxa"/>
            <w:vAlign w:val="center"/>
          </w:tcPr>
          <w:p w:rsidR="00956C72" w:rsidRPr="009E529B" w:rsidRDefault="00956C72" w:rsidP="00FC7435">
            <w:pPr>
              <w:spacing w:after="0" w:line="270" w:lineRule="atLeast"/>
              <w:jc w:val="center"/>
              <w:rPr>
                <w:b/>
                <w:sz w:val="20"/>
                <w:szCs w:val="20"/>
                <w:lang w:val="de-DE" w:eastAsia="de-DE"/>
              </w:rPr>
            </w:pPr>
            <w:proofErr w:type="spellStart"/>
            <w:r w:rsidRPr="009E529B">
              <w:rPr>
                <w:b/>
                <w:sz w:val="20"/>
                <w:szCs w:val="20"/>
                <w:lang w:val="de-DE" w:eastAsia="de-DE"/>
              </w:rPr>
              <w:t>Number</w:t>
            </w:r>
            <w:proofErr w:type="spellEnd"/>
          </w:p>
        </w:tc>
        <w:tc>
          <w:tcPr>
            <w:tcW w:w="2760" w:type="dxa"/>
            <w:vAlign w:val="center"/>
          </w:tcPr>
          <w:p w:rsidR="00956C72" w:rsidRPr="009E529B" w:rsidRDefault="00956C72" w:rsidP="00FC7435">
            <w:pPr>
              <w:spacing w:after="0" w:line="270" w:lineRule="atLeast"/>
              <w:jc w:val="left"/>
              <w:rPr>
                <w:b/>
                <w:sz w:val="20"/>
                <w:szCs w:val="20"/>
                <w:lang w:val="de-DE" w:eastAsia="de-DE"/>
              </w:rPr>
            </w:pPr>
            <w:r w:rsidRPr="009E529B">
              <w:rPr>
                <w:b/>
                <w:sz w:val="20"/>
                <w:szCs w:val="20"/>
                <w:lang w:val="de-DE" w:eastAsia="de-DE"/>
              </w:rPr>
              <w:t xml:space="preserve">Head </w:t>
            </w:r>
            <w:proofErr w:type="spellStart"/>
            <w:r w:rsidRPr="009E529B">
              <w:rPr>
                <w:b/>
                <w:sz w:val="20"/>
                <w:szCs w:val="20"/>
                <w:lang w:val="de-DE" w:eastAsia="de-DE"/>
              </w:rPr>
              <w:t>of</w:t>
            </w:r>
            <w:proofErr w:type="spellEnd"/>
            <w:r w:rsidRPr="009E529B">
              <w:rPr>
                <w:b/>
                <w:sz w:val="20"/>
                <w:szCs w:val="20"/>
                <w:lang w:val="de-DE" w:eastAsia="de-DE"/>
              </w:rPr>
              <w:t xml:space="preserve"> </w:t>
            </w:r>
            <w:proofErr w:type="spellStart"/>
            <w:r w:rsidRPr="009E529B">
              <w:rPr>
                <w:b/>
                <w:sz w:val="20"/>
                <w:szCs w:val="20"/>
                <w:lang w:val="de-DE" w:eastAsia="de-DE"/>
              </w:rPr>
              <w:t>laboratory</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University </w:t>
            </w:r>
            <w:proofErr w:type="spellStart"/>
            <w:r w:rsidRPr="009E529B">
              <w:rPr>
                <w:sz w:val="20"/>
                <w:szCs w:val="20"/>
                <w:lang w:val="de-DE" w:eastAsia="de-DE"/>
              </w:rPr>
              <w:t>of</w:t>
            </w:r>
            <w:proofErr w:type="spellEnd"/>
            <w:r w:rsidRPr="009E529B">
              <w:rPr>
                <w:sz w:val="20"/>
                <w:szCs w:val="20"/>
                <w:lang w:val="de-DE" w:eastAsia="de-DE"/>
              </w:rPr>
              <w:t xml:space="preserve"> Heidelberg</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Jonathan Sleeman</w:t>
            </w:r>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University </w:t>
            </w:r>
            <w:proofErr w:type="spellStart"/>
            <w:r w:rsidRPr="009E529B">
              <w:rPr>
                <w:sz w:val="20"/>
                <w:szCs w:val="20"/>
                <w:lang w:val="de-DE" w:eastAsia="de-DE"/>
              </w:rPr>
              <w:t>of</w:t>
            </w:r>
            <w:proofErr w:type="spellEnd"/>
            <w:r w:rsidRPr="009E529B">
              <w:rPr>
                <w:sz w:val="20"/>
                <w:szCs w:val="20"/>
                <w:lang w:val="de-DE" w:eastAsia="de-DE"/>
              </w:rPr>
              <w:t xml:space="preserve"> Basel</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2</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Gerhard </w:t>
            </w:r>
            <w:proofErr w:type="spellStart"/>
            <w:r w:rsidRPr="009E529B">
              <w:rPr>
                <w:sz w:val="20"/>
                <w:szCs w:val="20"/>
                <w:lang w:val="de-DE" w:eastAsia="de-DE"/>
              </w:rPr>
              <w:t>Christofori</w:t>
            </w:r>
            <w:proofErr w:type="spellEnd"/>
          </w:p>
        </w:tc>
      </w:tr>
      <w:tr w:rsidR="00956C72" w:rsidRPr="00106909" w:rsidTr="00FC7435">
        <w:trPr>
          <w:trHeight w:val="56"/>
          <w:tblCellSpacing w:w="15" w:type="dxa"/>
        </w:trPr>
        <w:tc>
          <w:tcPr>
            <w:tcW w:w="4110" w:type="dxa"/>
            <w:vAlign w:val="center"/>
          </w:tcPr>
          <w:p w:rsidR="00956C72" w:rsidRPr="009E529B" w:rsidRDefault="00956C72" w:rsidP="00FC7435">
            <w:pPr>
              <w:spacing w:after="0" w:line="270" w:lineRule="atLeast"/>
              <w:jc w:val="left"/>
              <w:rPr>
                <w:sz w:val="20"/>
                <w:szCs w:val="20"/>
                <w:lang w:val="en-GB" w:eastAsia="de-DE"/>
              </w:rPr>
            </w:pPr>
            <w:r>
              <w:rPr>
                <w:sz w:val="20"/>
                <w:szCs w:val="20"/>
                <w:lang w:val="en-GB" w:eastAsia="de-DE"/>
              </w:rPr>
              <w:t xml:space="preserve">Erasmus University, </w:t>
            </w:r>
            <w:r w:rsidRPr="009E529B">
              <w:rPr>
                <w:sz w:val="20"/>
                <w:szCs w:val="20"/>
                <w:lang w:val="en-GB" w:eastAsia="de-DE"/>
              </w:rPr>
              <w:t xml:space="preserve">Medical </w:t>
            </w:r>
            <w:proofErr w:type="spellStart"/>
            <w:r w:rsidRPr="009E529B">
              <w:rPr>
                <w:sz w:val="20"/>
                <w:szCs w:val="20"/>
                <w:lang w:val="en-GB" w:eastAsia="de-DE"/>
              </w:rPr>
              <w:t>Center</w:t>
            </w:r>
            <w:proofErr w:type="spellEnd"/>
            <w:r w:rsidRPr="009E529B">
              <w:rPr>
                <w:sz w:val="20"/>
                <w:szCs w:val="20"/>
                <w:lang w:val="en-GB" w:eastAsia="de-DE"/>
              </w:rPr>
              <w:t xml:space="preserve"> Rotterdam</w:t>
            </w:r>
          </w:p>
        </w:tc>
        <w:tc>
          <w:tcPr>
            <w:tcW w:w="1328" w:type="dxa"/>
            <w:vAlign w:val="center"/>
          </w:tcPr>
          <w:p w:rsidR="00956C72" w:rsidRPr="009E529B" w:rsidRDefault="00956C72" w:rsidP="00FC7435">
            <w:pPr>
              <w:spacing w:after="0" w:line="270" w:lineRule="atLeast"/>
              <w:jc w:val="center"/>
              <w:rPr>
                <w:sz w:val="20"/>
                <w:szCs w:val="20"/>
                <w:lang w:val="en-GB" w:eastAsia="de-DE"/>
              </w:rPr>
            </w:pPr>
            <w:r>
              <w:rPr>
                <w:sz w:val="20"/>
                <w:szCs w:val="20"/>
                <w:lang w:val="en-GB" w:eastAsia="de-DE"/>
              </w:rPr>
              <w:t>3</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Riccardo </w:t>
            </w:r>
            <w:proofErr w:type="spellStart"/>
            <w:r w:rsidRPr="009E529B">
              <w:rPr>
                <w:sz w:val="20"/>
                <w:szCs w:val="20"/>
                <w:lang w:val="de-DE" w:eastAsia="de-DE"/>
              </w:rPr>
              <w:t>Fodde</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w:t>
            </w:r>
            <w:proofErr w:type="spellStart"/>
            <w:r w:rsidRPr="009E529B">
              <w:rPr>
                <w:sz w:val="20"/>
                <w:szCs w:val="20"/>
                <w:lang w:val="de-DE" w:eastAsia="de-DE"/>
              </w:rPr>
              <w:t>Cancer</w:t>
            </w:r>
            <w:proofErr w:type="spellEnd"/>
            <w:r w:rsidRPr="009E529B">
              <w:rPr>
                <w:sz w:val="20"/>
                <w:szCs w:val="20"/>
                <w:lang w:val="de-DE" w:eastAsia="de-DE"/>
              </w:rPr>
              <w:t xml:space="preserve"> Research UK</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4</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Fiona Watt]</w:t>
            </w:r>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w:t>
            </w:r>
            <w:proofErr w:type="spellStart"/>
            <w:r w:rsidRPr="009E529B">
              <w:rPr>
                <w:sz w:val="20"/>
                <w:szCs w:val="20"/>
                <w:lang w:val="de-DE" w:eastAsia="de-DE"/>
              </w:rPr>
              <w:t>CePO</w:t>
            </w:r>
            <w:proofErr w:type="spellEnd"/>
            <w:r w:rsidRPr="009E529B">
              <w:rPr>
                <w:sz w:val="20"/>
                <w:szCs w:val="20"/>
                <w:lang w:val="de-DE" w:eastAsia="de-DE"/>
              </w:rPr>
              <w:t xml:space="preserve"> Lausanne</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5</w:t>
            </w:r>
          </w:p>
        </w:tc>
        <w:tc>
          <w:tcPr>
            <w:tcW w:w="276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Curzio</w:t>
            </w:r>
            <w:proofErr w:type="spellEnd"/>
            <w:r w:rsidRPr="009E529B">
              <w:rPr>
                <w:sz w:val="20"/>
                <w:szCs w:val="20"/>
                <w:lang w:val="de-DE" w:eastAsia="de-DE"/>
              </w:rPr>
              <w:t xml:space="preserve"> Rüegg]</w:t>
            </w:r>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Netherlands</w:t>
            </w:r>
            <w:proofErr w:type="spellEnd"/>
            <w:r w:rsidRPr="009E529B">
              <w:rPr>
                <w:sz w:val="20"/>
                <w:szCs w:val="20"/>
                <w:lang w:val="de-DE" w:eastAsia="de-DE"/>
              </w:rPr>
              <w:t xml:space="preserve"> </w:t>
            </w:r>
            <w:proofErr w:type="spellStart"/>
            <w:r w:rsidRPr="009E529B">
              <w:rPr>
                <w:sz w:val="20"/>
                <w:szCs w:val="20"/>
                <w:lang w:val="de-DE" w:eastAsia="de-DE"/>
              </w:rPr>
              <w:t>Cancer</w:t>
            </w:r>
            <w:proofErr w:type="spellEnd"/>
            <w:r w:rsidRPr="009E529B">
              <w:rPr>
                <w:sz w:val="20"/>
                <w:szCs w:val="20"/>
                <w:lang w:val="de-DE" w:eastAsia="de-DE"/>
              </w:rPr>
              <w:t xml:space="preserve"> Institute</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6</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John </w:t>
            </w:r>
            <w:proofErr w:type="spellStart"/>
            <w:r w:rsidRPr="009E529B">
              <w:rPr>
                <w:sz w:val="20"/>
                <w:szCs w:val="20"/>
                <w:lang w:val="de-DE" w:eastAsia="de-DE"/>
              </w:rPr>
              <w:t>Collard</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University Federico II </w:t>
            </w:r>
            <w:proofErr w:type="spellStart"/>
            <w:r w:rsidRPr="009E529B">
              <w:rPr>
                <w:sz w:val="20"/>
                <w:szCs w:val="20"/>
                <w:lang w:val="de-DE" w:eastAsia="de-DE"/>
              </w:rPr>
              <w:t>Naples</w:t>
            </w:r>
            <w:proofErr w:type="spellEnd"/>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7</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Massimo </w:t>
            </w:r>
            <w:proofErr w:type="spellStart"/>
            <w:r w:rsidRPr="009E529B">
              <w:rPr>
                <w:sz w:val="20"/>
                <w:szCs w:val="20"/>
                <w:lang w:val="de-DE" w:eastAsia="de-DE"/>
              </w:rPr>
              <w:t>Zollo</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Danish</w:t>
            </w:r>
            <w:proofErr w:type="spellEnd"/>
            <w:r w:rsidRPr="009E529B">
              <w:rPr>
                <w:sz w:val="20"/>
                <w:szCs w:val="20"/>
                <w:lang w:val="de-DE" w:eastAsia="de-DE"/>
              </w:rPr>
              <w:t xml:space="preserve"> </w:t>
            </w:r>
            <w:proofErr w:type="spellStart"/>
            <w:r w:rsidRPr="009E529B">
              <w:rPr>
                <w:sz w:val="20"/>
                <w:szCs w:val="20"/>
                <w:lang w:val="de-DE" w:eastAsia="de-DE"/>
              </w:rPr>
              <w:t>Cancer</w:t>
            </w:r>
            <w:proofErr w:type="spellEnd"/>
            <w:r w:rsidRPr="009E529B">
              <w:rPr>
                <w:sz w:val="20"/>
                <w:szCs w:val="20"/>
                <w:lang w:val="de-DE" w:eastAsia="de-DE"/>
              </w:rPr>
              <w:t xml:space="preserve"> Society</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8</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Eugene </w:t>
            </w:r>
            <w:proofErr w:type="spellStart"/>
            <w:r w:rsidRPr="009E529B">
              <w:rPr>
                <w:sz w:val="20"/>
                <w:szCs w:val="20"/>
                <w:lang w:val="de-DE" w:eastAsia="de-DE"/>
              </w:rPr>
              <w:t>Lukanidin</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VIB </w:t>
            </w:r>
            <w:proofErr w:type="spellStart"/>
            <w:r w:rsidRPr="009E529B">
              <w:rPr>
                <w:sz w:val="20"/>
                <w:szCs w:val="20"/>
                <w:lang w:val="de-DE" w:eastAsia="de-DE"/>
              </w:rPr>
              <w:t>Ghent</w:t>
            </w:r>
            <w:proofErr w:type="spellEnd"/>
            <w:r w:rsidRPr="009E529B">
              <w:rPr>
                <w:sz w:val="20"/>
                <w:szCs w:val="20"/>
                <w:lang w:val="de-DE" w:eastAsia="de-DE"/>
              </w:rPr>
              <w:t xml:space="preserve"> University</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9</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Geert </w:t>
            </w:r>
            <w:proofErr w:type="spellStart"/>
            <w:r w:rsidRPr="009E529B">
              <w:rPr>
                <w:sz w:val="20"/>
                <w:szCs w:val="20"/>
                <w:lang w:val="de-DE" w:eastAsia="de-DE"/>
              </w:rPr>
              <w:t>Berx</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Actelion</w:t>
            </w:r>
            <w:proofErr w:type="spellEnd"/>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10</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Urs </w:t>
            </w:r>
            <w:proofErr w:type="spellStart"/>
            <w:r w:rsidRPr="009E529B">
              <w:rPr>
                <w:sz w:val="20"/>
                <w:szCs w:val="20"/>
                <w:lang w:val="de-DE" w:eastAsia="de-DE"/>
              </w:rPr>
              <w:t>Regenass</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Institut Curie</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11</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Charles </w:t>
            </w:r>
            <w:proofErr w:type="spellStart"/>
            <w:r w:rsidRPr="009E529B">
              <w:rPr>
                <w:sz w:val="20"/>
                <w:szCs w:val="20"/>
                <w:lang w:val="de-DE" w:eastAsia="de-DE"/>
              </w:rPr>
              <w:t>Decraene</w:t>
            </w:r>
            <w:proofErr w:type="spellEnd"/>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Forschungszentrum Karlsruhe</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12</w:t>
            </w:r>
          </w:p>
        </w:tc>
        <w:tc>
          <w:tcPr>
            <w:tcW w:w="2760" w:type="dxa"/>
            <w:vAlign w:val="center"/>
          </w:tcPr>
          <w:p w:rsidR="00956C72" w:rsidRPr="009E529B" w:rsidRDefault="00956C72" w:rsidP="00FC7435">
            <w:pPr>
              <w:spacing w:after="0" w:line="270" w:lineRule="atLeast"/>
              <w:jc w:val="left"/>
              <w:rPr>
                <w:sz w:val="20"/>
                <w:szCs w:val="20"/>
                <w:lang w:val="de-DE" w:eastAsia="de-DE"/>
              </w:rPr>
            </w:pPr>
            <w:r>
              <w:rPr>
                <w:sz w:val="20"/>
                <w:szCs w:val="20"/>
                <w:lang w:val="de-DE" w:eastAsia="de-DE"/>
              </w:rPr>
              <w:t>Jonathan Sleeman</w:t>
            </w:r>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 xml:space="preserve">University </w:t>
            </w:r>
            <w:proofErr w:type="spellStart"/>
            <w:r w:rsidRPr="009E529B">
              <w:rPr>
                <w:sz w:val="20"/>
                <w:szCs w:val="20"/>
                <w:lang w:val="de-DE" w:eastAsia="de-DE"/>
              </w:rPr>
              <w:t>of</w:t>
            </w:r>
            <w:proofErr w:type="spellEnd"/>
            <w:r w:rsidRPr="009E529B">
              <w:rPr>
                <w:sz w:val="20"/>
                <w:szCs w:val="20"/>
                <w:lang w:val="de-DE" w:eastAsia="de-DE"/>
              </w:rPr>
              <w:t xml:space="preserve"> Cambridge</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13</w:t>
            </w:r>
          </w:p>
        </w:tc>
        <w:tc>
          <w:tcPr>
            <w:tcW w:w="2760" w:type="dxa"/>
            <w:vAlign w:val="center"/>
          </w:tcPr>
          <w:p w:rsidR="00956C72" w:rsidRPr="009E529B" w:rsidRDefault="00956C72" w:rsidP="00FC7435">
            <w:pPr>
              <w:spacing w:after="0" w:line="270" w:lineRule="atLeast"/>
              <w:jc w:val="left"/>
              <w:rPr>
                <w:sz w:val="20"/>
                <w:szCs w:val="20"/>
                <w:lang w:val="de-DE" w:eastAsia="de-DE"/>
              </w:rPr>
            </w:pPr>
            <w:r w:rsidRPr="009E529B">
              <w:rPr>
                <w:sz w:val="20"/>
                <w:szCs w:val="20"/>
                <w:lang w:val="de-DE" w:eastAsia="de-DE"/>
              </w:rPr>
              <w:t>Fiona Watt</w:t>
            </w:r>
          </w:p>
        </w:tc>
      </w:tr>
      <w:tr w:rsidR="00956C72" w:rsidRPr="00106909" w:rsidTr="00FC7435">
        <w:trPr>
          <w:tblCellSpacing w:w="15" w:type="dxa"/>
        </w:trPr>
        <w:tc>
          <w:tcPr>
            <w:tcW w:w="411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Université</w:t>
            </w:r>
            <w:proofErr w:type="spellEnd"/>
            <w:r w:rsidRPr="009E529B">
              <w:rPr>
                <w:sz w:val="20"/>
                <w:szCs w:val="20"/>
                <w:lang w:val="de-DE" w:eastAsia="de-DE"/>
              </w:rPr>
              <w:t xml:space="preserve"> de Fribourg</w:t>
            </w:r>
          </w:p>
        </w:tc>
        <w:tc>
          <w:tcPr>
            <w:tcW w:w="1328" w:type="dxa"/>
            <w:vAlign w:val="center"/>
          </w:tcPr>
          <w:p w:rsidR="00956C72" w:rsidRPr="009E529B" w:rsidRDefault="00956C72" w:rsidP="00FC7435">
            <w:pPr>
              <w:spacing w:after="0" w:line="270" w:lineRule="atLeast"/>
              <w:jc w:val="center"/>
              <w:rPr>
                <w:sz w:val="20"/>
                <w:szCs w:val="20"/>
                <w:lang w:val="de-DE" w:eastAsia="de-DE"/>
              </w:rPr>
            </w:pPr>
            <w:r>
              <w:rPr>
                <w:sz w:val="20"/>
                <w:szCs w:val="20"/>
                <w:lang w:val="de-DE" w:eastAsia="de-DE"/>
              </w:rPr>
              <w:t>14</w:t>
            </w:r>
          </w:p>
        </w:tc>
        <w:tc>
          <w:tcPr>
            <w:tcW w:w="2760" w:type="dxa"/>
            <w:vAlign w:val="center"/>
          </w:tcPr>
          <w:p w:rsidR="00956C72" w:rsidRPr="009E529B" w:rsidRDefault="00956C72" w:rsidP="00FC7435">
            <w:pPr>
              <w:spacing w:after="0" w:line="270" w:lineRule="atLeast"/>
              <w:jc w:val="left"/>
              <w:rPr>
                <w:sz w:val="20"/>
                <w:szCs w:val="20"/>
                <w:lang w:val="de-DE" w:eastAsia="de-DE"/>
              </w:rPr>
            </w:pPr>
            <w:proofErr w:type="spellStart"/>
            <w:r w:rsidRPr="009E529B">
              <w:rPr>
                <w:sz w:val="20"/>
                <w:szCs w:val="20"/>
                <w:lang w:val="de-DE" w:eastAsia="de-DE"/>
              </w:rPr>
              <w:t>Curzio</w:t>
            </w:r>
            <w:proofErr w:type="spellEnd"/>
            <w:r w:rsidRPr="009E529B">
              <w:rPr>
                <w:sz w:val="20"/>
                <w:szCs w:val="20"/>
                <w:lang w:val="de-DE" w:eastAsia="de-DE"/>
              </w:rPr>
              <w:t xml:space="preserve"> Rüegg</w:t>
            </w:r>
          </w:p>
        </w:tc>
      </w:tr>
    </w:tbl>
    <w:p w:rsidR="00956C72" w:rsidRDefault="00956C72" w:rsidP="00956C72">
      <w:pPr>
        <w:autoSpaceDE w:val="0"/>
        <w:autoSpaceDN w:val="0"/>
        <w:adjustRightInd w:val="0"/>
      </w:pPr>
    </w:p>
    <w:p w:rsidR="00956C72" w:rsidRPr="00BC4AAA" w:rsidRDefault="00956C72" w:rsidP="00956C72">
      <w:pPr>
        <w:autoSpaceDE w:val="0"/>
        <w:autoSpaceDN w:val="0"/>
        <w:adjustRightInd w:val="0"/>
      </w:pPr>
    </w:p>
    <w:p w:rsidR="00956C72" w:rsidRDefault="00956C72" w:rsidP="00956C72">
      <w:pPr>
        <w:numPr>
          <w:numberingChange w:id="0" w:author="ortsrca" w:date="2010-06-09T11:31:00Z" w:original=""/>
        </w:numPr>
        <w:autoSpaceDE w:val="0"/>
        <w:autoSpaceDN w:val="0"/>
        <w:adjustRightInd w:val="0"/>
        <w:spacing w:after="0"/>
      </w:pPr>
      <w:r>
        <w:rPr>
          <w:rFonts w:ascii="Arial" w:hAnsi="Arial"/>
          <w:b/>
        </w:rPr>
        <w:br w:type="page"/>
      </w:r>
      <w:proofErr w:type="gramStart"/>
      <w:r w:rsidRPr="00372D5B">
        <w:rPr>
          <w:rFonts w:ascii="Arial" w:hAnsi="Arial"/>
          <w:b/>
        </w:rPr>
        <w:lastRenderedPageBreak/>
        <w:t>Executive summary</w:t>
      </w:r>
      <w:r>
        <w:t>.</w:t>
      </w:r>
      <w:proofErr w:type="gramEnd"/>
    </w:p>
    <w:p w:rsidR="00956C72" w:rsidRDefault="00956C72" w:rsidP="00956C72">
      <w:pPr>
        <w:autoSpaceDE w:val="0"/>
        <w:autoSpaceDN w:val="0"/>
        <w:adjustRightInd w:val="0"/>
        <w:ind w:left="360"/>
      </w:pPr>
    </w:p>
    <w:p w:rsidR="00956C72" w:rsidRDefault="00956C72" w:rsidP="00956C72">
      <w:pPr>
        <w:autoSpaceDE w:val="0"/>
        <w:autoSpaceDN w:val="0"/>
        <w:adjustRightInd w:val="0"/>
        <w:rPr>
          <w:color w:val="000000"/>
          <w:szCs w:val="20"/>
          <w:lang w:val="en-GB"/>
        </w:rPr>
      </w:pPr>
      <w:r>
        <w:rPr>
          <w:color w:val="000000"/>
          <w:szCs w:val="20"/>
          <w:lang w:val="en-GB"/>
        </w:rPr>
        <w:t xml:space="preserve">At the outset of the </w:t>
      </w:r>
      <w:proofErr w:type="spellStart"/>
      <w:r>
        <w:rPr>
          <w:color w:val="000000"/>
          <w:szCs w:val="20"/>
          <w:lang w:val="en-GB"/>
        </w:rPr>
        <w:t>TuMIC</w:t>
      </w:r>
      <w:proofErr w:type="spellEnd"/>
      <w:r>
        <w:rPr>
          <w:color w:val="000000"/>
          <w:szCs w:val="20"/>
          <w:lang w:val="en-GB"/>
        </w:rPr>
        <w:t xml:space="preserve"> project, it was clear that</w:t>
      </w:r>
      <w:r w:rsidRPr="005E3A7E">
        <w:rPr>
          <w:color w:val="000000"/>
          <w:szCs w:val="20"/>
          <w:lang w:val="en-GB"/>
        </w:rPr>
        <w:t xml:space="preserve"> our concept of the process of metastasis is inadequate and needs to be revised. In the </w:t>
      </w:r>
      <w:proofErr w:type="spellStart"/>
      <w:r w:rsidRPr="005E3A7E">
        <w:rPr>
          <w:color w:val="000000"/>
          <w:szCs w:val="20"/>
          <w:lang w:val="en-GB"/>
        </w:rPr>
        <w:t>TuMIC</w:t>
      </w:r>
      <w:proofErr w:type="spellEnd"/>
      <w:r w:rsidRPr="005E3A7E">
        <w:rPr>
          <w:color w:val="000000"/>
          <w:szCs w:val="20"/>
          <w:lang w:val="en-GB"/>
        </w:rPr>
        <w:t xml:space="preserve"> project we </w:t>
      </w:r>
      <w:r>
        <w:rPr>
          <w:color w:val="000000"/>
          <w:szCs w:val="20"/>
          <w:lang w:val="en-GB"/>
        </w:rPr>
        <w:t>aimed to</w:t>
      </w:r>
      <w:r w:rsidRPr="005E3A7E">
        <w:rPr>
          <w:color w:val="000000"/>
          <w:szCs w:val="20"/>
          <w:lang w:val="en-GB"/>
        </w:rPr>
        <w:t xml:space="preserve"> use novel experimental approaches to integrate newly emerging principles and ideas </w:t>
      </w:r>
      <w:r>
        <w:rPr>
          <w:color w:val="000000"/>
          <w:szCs w:val="20"/>
          <w:lang w:val="en-GB"/>
        </w:rPr>
        <w:t xml:space="preserve">such as </w:t>
      </w:r>
      <w:r w:rsidRPr="005E3A7E">
        <w:rPr>
          <w:color w:val="000000"/>
          <w:szCs w:val="20"/>
          <w:lang w:val="en-GB"/>
        </w:rPr>
        <w:t xml:space="preserve">cancer stem cells </w:t>
      </w:r>
      <w:r>
        <w:rPr>
          <w:color w:val="000000"/>
          <w:szCs w:val="20"/>
          <w:lang w:val="en-GB"/>
        </w:rPr>
        <w:t xml:space="preserve">and </w:t>
      </w:r>
      <w:r w:rsidRPr="005E3A7E">
        <w:rPr>
          <w:color w:val="000000"/>
          <w:szCs w:val="20"/>
          <w:lang w:val="en-GB"/>
        </w:rPr>
        <w:t xml:space="preserve">metastatic niches with the different hypotheses that have until now tried to explain the process of metastasis. Specifically we </w:t>
      </w:r>
      <w:r>
        <w:rPr>
          <w:color w:val="000000"/>
          <w:szCs w:val="20"/>
          <w:lang w:val="en-GB"/>
        </w:rPr>
        <w:t>wanted</w:t>
      </w:r>
      <w:r w:rsidRPr="005E3A7E">
        <w:rPr>
          <w:color w:val="000000"/>
          <w:szCs w:val="20"/>
          <w:lang w:val="en-GB"/>
        </w:rPr>
        <w:t xml:space="preserve"> to understand how cancer stem cells </w:t>
      </w:r>
      <w:r>
        <w:rPr>
          <w:color w:val="000000"/>
          <w:szCs w:val="20"/>
          <w:lang w:val="en-GB"/>
        </w:rPr>
        <w:t xml:space="preserve">(CSCs) </w:t>
      </w:r>
      <w:r w:rsidRPr="005E3A7E">
        <w:rPr>
          <w:color w:val="000000"/>
          <w:szCs w:val="20"/>
          <w:lang w:val="en-GB"/>
        </w:rPr>
        <w:t>behave in and contribute to metastasis, and how networks and pathways that are known to regulate metastasis affect their properties. Further object</w:t>
      </w:r>
      <w:r>
        <w:rPr>
          <w:color w:val="000000"/>
          <w:szCs w:val="20"/>
          <w:lang w:val="en-GB"/>
        </w:rPr>
        <w:t>ive</w:t>
      </w:r>
      <w:r w:rsidRPr="005E3A7E">
        <w:rPr>
          <w:color w:val="000000"/>
          <w:szCs w:val="20"/>
          <w:lang w:val="en-GB"/>
        </w:rPr>
        <w:t xml:space="preserve">s </w:t>
      </w:r>
      <w:r>
        <w:rPr>
          <w:color w:val="000000"/>
          <w:szCs w:val="20"/>
          <w:lang w:val="en-GB"/>
        </w:rPr>
        <w:t>we</w:t>
      </w:r>
      <w:r w:rsidRPr="005E3A7E">
        <w:rPr>
          <w:color w:val="000000"/>
          <w:szCs w:val="20"/>
          <w:lang w:val="en-GB"/>
        </w:rPr>
        <w:t xml:space="preserve">re to determine how a permissive </w:t>
      </w:r>
      <w:r>
        <w:rPr>
          <w:color w:val="000000"/>
          <w:szCs w:val="20"/>
          <w:lang w:val="en-GB"/>
        </w:rPr>
        <w:t xml:space="preserve">niche </w:t>
      </w:r>
      <w:r w:rsidRPr="005E3A7E">
        <w:rPr>
          <w:color w:val="000000"/>
          <w:szCs w:val="20"/>
          <w:lang w:val="en-GB"/>
        </w:rPr>
        <w:t>microenvironment for metastasis formation is established in given organs, how this contributes to determining patterns of meta</w:t>
      </w:r>
      <w:r>
        <w:rPr>
          <w:color w:val="000000"/>
          <w:szCs w:val="20"/>
          <w:lang w:val="en-GB"/>
        </w:rPr>
        <w:t>s</w:t>
      </w:r>
      <w:r w:rsidRPr="005E3A7E">
        <w:rPr>
          <w:color w:val="000000"/>
          <w:szCs w:val="20"/>
          <w:lang w:val="en-GB"/>
        </w:rPr>
        <w:t xml:space="preserve">tasis, and how these microenvironments interact with cancer stem cells. </w:t>
      </w:r>
      <w:r>
        <w:rPr>
          <w:color w:val="000000"/>
          <w:szCs w:val="20"/>
          <w:lang w:val="en-GB"/>
        </w:rPr>
        <w:t>W</w:t>
      </w:r>
      <w:r w:rsidRPr="005E3A7E">
        <w:rPr>
          <w:color w:val="000000"/>
          <w:szCs w:val="20"/>
          <w:lang w:val="en-GB"/>
        </w:rPr>
        <w:t xml:space="preserve">e also </w:t>
      </w:r>
      <w:r>
        <w:rPr>
          <w:color w:val="000000"/>
          <w:szCs w:val="20"/>
          <w:lang w:val="en-GB"/>
        </w:rPr>
        <w:t xml:space="preserve">set out to </w:t>
      </w:r>
      <w:r w:rsidRPr="005E3A7E">
        <w:rPr>
          <w:color w:val="000000"/>
          <w:szCs w:val="20"/>
          <w:lang w:val="en-GB"/>
        </w:rPr>
        <w:t xml:space="preserve">perform preclinical studies that build on </w:t>
      </w:r>
      <w:proofErr w:type="spellStart"/>
      <w:r w:rsidRPr="005E3A7E">
        <w:rPr>
          <w:color w:val="000000"/>
          <w:szCs w:val="20"/>
          <w:lang w:val="en-GB"/>
        </w:rPr>
        <w:t>TuMIC</w:t>
      </w:r>
      <w:proofErr w:type="spellEnd"/>
      <w:r w:rsidRPr="005E3A7E">
        <w:rPr>
          <w:color w:val="000000"/>
          <w:szCs w:val="20"/>
          <w:lang w:val="en-GB"/>
        </w:rPr>
        <w:t xml:space="preserve"> findings with the aim of developing novel anti-cancer therapies.</w:t>
      </w:r>
    </w:p>
    <w:p w:rsidR="00956C72" w:rsidRDefault="00956C72" w:rsidP="00956C72">
      <w:pPr>
        <w:autoSpaceDE w:val="0"/>
        <w:autoSpaceDN w:val="0"/>
        <w:adjustRightInd w:val="0"/>
        <w:rPr>
          <w:color w:val="000000"/>
          <w:szCs w:val="20"/>
          <w:lang w:val="en-GB"/>
        </w:rPr>
      </w:pPr>
      <w:r>
        <w:rPr>
          <w:color w:val="000000"/>
          <w:szCs w:val="20"/>
          <w:lang w:val="en-GB"/>
        </w:rPr>
        <w:t xml:space="preserve">Our data link CSC properties with metastatic proclivity. For example, a stem cell marker was shown to be functionally required for metastasis of </w:t>
      </w:r>
      <w:proofErr w:type="spellStart"/>
      <w:r>
        <w:rPr>
          <w:color w:val="000000"/>
          <w:szCs w:val="20"/>
          <w:lang w:val="en-GB"/>
        </w:rPr>
        <w:t>squamous</w:t>
      </w:r>
      <w:proofErr w:type="spellEnd"/>
      <w:r>
        <w:rPr>
          <w:color w:val="000000"/>
          <w:szCs w:val="20"/>
          <w:lang w:val="en-GB"/>
        </w:rPr>
        <w:t xml:space="preserve"> cell carcinomas. Furthermore, a gene expression signature specific to breast cancer CSCs proved to be a robust and reliable indicator of poor prognosis for breast cancer patients. Several lines of evidence we produced link the epithelial-</w:t>
      </w:r>
      <w:proofErr w:type="spellStart"/>
      <w:r>
        <w:rPr>
          <w:color w:val="000000"/>
          <w:szCs w:val="20"/>
          <w:lang w:val="en-GB"/>
        </w:rPr>
        <w:t>mesenchymal</w:t>
      </w:r>
      <w:proofErr w:type="spellEnd"/>
      <w:r>
        <w:rPr>
          <w:color w:val="000000"/>
          <w:szCs w:val="20"/>
          <w:lang w:val="en-GB"/>
        </w:rPr>
        <w:t xml:space="preserve"> transition (EMT) with CSC properties and metastasis, and the underlying transcriptional regulatory mechanisms have been elucidated. For example, a gene expression signature induced by an EMT-inducing transcriptional regulator proven to be a potent indicator of poor prognosis in breast cancer.</w:t>
      </w:r>
    </w:p>
    <w:p w:rsidR="00956C72" w:rsidRDefault="00956C72" w:rsidP="00956C72">
      <w:pPr>
        <w:autoSpaceDE w:val="0"/>
        <w:autoSpaceDN w:val="0"/>
        <w:adjustRightInd w:val="0"/>
        <w:rPr>
          <w:color w:val="000000"/>
          <w:szCs w:val="20"/>
          <w:lang w:val="en-GB"/>
        </w:rPr>
      </w:pPr>
      <w:r>
        <w:rPr>
          <w:color w:val="000000"/>
          <w:szCs w:val="20"/>
          <w:lang w:val="en-GB"/>
        </w:rPr>
        <w:t>We have made important progress in understanding how the formation of metastatic niches is regulated. The S100 family member S100A4 has emerged from our work as a central regulator of metastatic niche formation, acting to create an inflammatory milieu that constitutes a pivotal component of the metastatic niche, as well as suppressing expression of factors in metastatic niches that counteract metastatic formation. Other factors such as VEGF-C, CCL2 and the c-Kit/</w:t>
      </w:r>
      <w:proofErr w:type="spellStart"/>
      <w:r>
        <w:rPr>
          <w:color w:val="000000"/>
          <w:szCs w:val="20"/>
          <w:lang w:val="en-GB"/>
        </w:rPr>
        <w:t>KitL</w:t>
      </w:r>
      <w:proofErr w:type="spellEnd"/>
      <w:r>
        <w:rPr>
          <w:color w:val="000000"/>
          <w:szCs w:val="20"/>
          <w:lang w:val="en-GB"/>
        </w:rPr>
        <w:t xml:space="preserve"> axis have arisen from our research as other factors that positively regulate niche formation. Together our data functionally demonstrate the importance of CD11b+ bone marrow-derived cells in the </w:t>
      </w:r>
      <w:proofErr w:type="spellStart"/>
      <w:r>
        <w:rPr>
          <w:color w:val="000000"/>
          <w:szCs w:val="20"/>
          <w:lang w:val="en-GB"/>
        </w:rPr>
        <w:t>metastastic</w:t>
      </w:r>
      <w:proofErr w:type="spellEnd"/>
      <w:r>
        <w:rPr>
          <w:color w:val="000000"/>
          <w:szCs w:val="20"/>
          <w:lang w:val="en-GB"/>
        </w:rPr>
        <w:t xml:space="preserve"> niche, and also validate the metastatic niche as a therapeutic target for inhibition of metastasis. We also found that EMT endows </w:t>
      </w:r>
      <w:proofErr w:type="spellStart"/>
      <w:r>
        <w:rPr>
          <w:color w:val="000000"/>
          <w:szCs w:val="20"/>
          <w:lang w:val="en-GB"/>
        </w:rPr>
        <w:t>tumor</w:t>
      </w:r>
      <w:proofErr w:type="spellEnd"/>
      <w:r>
        <w:rPr>
          <w:color w:val="000000"/>
          <w:szCs w:val="20"/>
          <w:lang w:val="en-GB"/>
        </w:rPr>
        <w:t xml:space="preserve"> cells with </w:t>
      </w:r>
      <w:proofErr w:type="spellStart"/>
      <w:r>
        <w:rPr>
          <w:color w:val="000000"/>
          <w:szCs w:val="20"/>
          <w:lang w:val="en-GB"/>
        </w:rPr>
        <w:t>stemness</w:t>
      </w:r>
      <w:proofErr w:type="spellEnd"/>
      <w:r>
        <w:rPr>
          <w:color w:val="000000"/>
          <w:szCs w:val="20"/>
          <w:lang w:val="en-GB"/>
        </w:rPr>
        <w:t xml:space="preserve"> properties that </w:t>
      </w:r>
      <w:proofErr w:type="gramStart"/>
      <w:r>
        <w:rPr>
          <w:color w:val="000000"/>
          <w:szCs w:val="20"/>
          <w:lang w:val="en-GB"/>
        </w:rPr>
        <w:t>is</w:t>
      </w:r>
      <w:proofErr w:type="gramEnd"/>
      <w:r>
        <w:rPr>
          <w:color w:val="000000"/>
          <w:szCs w:val="20"/>
          <w:lang w:val="en-GB"/>
        </w:rPr>
        <w:t xml:space="preserve"> associated with angiogenesis induction that is in turn required for metastasis formation, consistent with the notion that CSCs can functionally interact with the metastatic niche by inducing angiogenesis.</w:t>
      </w:r>
    </w:p>
    <w:p w:rsidR="00956C72" w:rsidRDefault="00956C72" w:rsidP="00956C72">
      <w:pPr>
        <w:autoSpaceDE w:val="0"/>
        <w:autoSpaceDN w:val="0"/>
        <w:adjustRightInd w:val="0"/>
        <w:rPr>
          <w:color w:val="000000"/>
          <w:szCs w:val="20"/>
          <w:lang w:val="en-GB"/>
        </w:rPr>
      </w:pPr>
      <w:r>
        <w:rPr>
          <w:color w:val="000000"/>
          <w:szCs w:val="20"/>
          <w:lang w:val="en-GB"/>
        </w:rPr>
        <w:t xml:space="preserve">Based on these findings we have set up high throughput screens, developed inhibitory antibodies and rationally designed novel compounds with the aim of therapeutically applying our result to the treatment of cancer patients. Novel inhibitors of EMT have been discovered, and several ways of inhibiting metastatic niche formation have been identified. Ongoing studies beyond the lifetime of the </w:t>
      </w:r>
      <w:proofErr w:type="spellStart"/>
      <w:r>
        <w:rPr>
          <w:color w:val="000000"/>
          <w:szCs w:val="20"/>
          <w:lang w:val="en-GB"/>
        </w:rPr>
        <w:t>TuMIC</w:t>
      </w:r>
      <w:proofErr w:type="spellEnd"/>
      <w:r>
        <w:rPr>
          <w:color w:val="000000"/>
          <w:szCs w:val="20"/>
          <w:lang w:val="en-GB"/>
        </w:rPr>
        <w:t xml:space="preserve"> funding period will develop these promising preclinical approaches to the point where clinical trials can be started.</w:t>
      </w:r>
    </w:p>
    <w:p w:rsidR="00B57B0A" w:rsidRDefault="00956C72" w:rsidP="00E63A9F">
      <w:pPr>
        <w:autoSpaceDE w:val="0"/>
        <w:autoSpaceDN w:val="0"/>
        <w:adjustRightInd w:val="0"/>
      </w:pPr>
      <w:r>
        <w:rPr>
          <w:color w:val="000000"/>
          <w:szCs w:val="20"/>
          <w:lang w:val="en-GB"/>
        </w:rPr>
        <w:t xml:space="preserve">To ensure that the findings of the </w:t>
      </w:r>
      <w:proofErr w:type="spellStart"/>
      <w:r>
        <w:rPr>
          <w:color w:val="000000"/>
          <w:szCs w:val="20"/>
          <w:lang w:val="en-GB"/>
        </w:rPr>
        <w:t>TuMIC</w:t>
      </w:r>
      <w:proofErr w:type="spellEnd"/>
      <w:r>
        <w:rPr>
          <w:color w:val="000000"/>
          <w:szCs w:val="20"/>
          <w:lang w:val="en-GB"/>
        </w:rPr>
        <w:t xml:space="preserve"> project has maximum impact, we have engaged in a number of dissemination and exploitation activities, including scientific publications, organization and participation in conferences, intellectual property protection in the form of patents, and establishment of a project website. We have been actively involved in technology transfer, and have extensively interacted with EU-funded consortia and other key stakeholders.</w:t>
      </w:r>
      <w:r w:rsidRPr="00372D5B">
        <w:rPr>
          <w:rFonts w:ascii="Arial" w:hAnsi="Arial"/>
          <w:b/>
        </w:rPr>
        <w:t xml:space="preserve"> </w:t>
      </w:r>
    </w:p>
    <w:sectPr w:rsidR="00B57B0A" w:rsidSect="00B57B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956C72"/>
    <w:rsid w:val="00956C72"/>
    <w:rsid w:val="00B57B0A"/>
    <w:rsid w:val="00E63A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C72"/>
    <w:pPr>
      <w:spacing w:after="120" w:line="240" w:lineRule="auto"/>
      <w:jc w:val="both"/>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kypepnhprintcontainer">
    <w:name w:val="skype_pnh_print_container"/>
    <w:basedOn w:val="Absatz-Standardschriftart"/>
    <w:rsid w:val="00956C72"/>
  </w:style>
  <w:style w:type="character" w:customStyle="1" w:styleId="skypepnhmark">
    <w:name w:val="skype_pnh_mark"/>
    <w:basedOn w:val="Absatz-Standardschriftart"/>
    <w:rsid w:val="00956C72"/>
  </w:style>
  <w:style w:type="paragraph" w:styleId="Sprechblasentext">
    <w:name w:val="Balloon Text"/>
    <w:basedOn w:val="Standard"/>
    <w:link w:val="SprechblasentextZchn"/>
    <w:uiPriority w:val="99"/>
    <w:semiHidden/>
    <w:unhideWhenUsed/>
    <w:rsid w:val="00956C7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7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Anke</cp:lastModifiedBy>
  <cp:revision>2</cp:revision>
  <dcterms:created xsi:type="dcterms:W3CDTF">2012-06-01T21:53:00Z</dcterms:created>
  <dcterms:modified xsi:type="dcterms:W3CDTF">2012-06-01T21:55:00Z</dcterms:modified>
</cp:coreProperties>
</file>