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AB" w:rsidRPr="006179A3" w:rsidRDefault="00CB2481" w:rsidP="006179A3">
      <w:pPr>
        <w:autoSpaceDE w:val="0"/>
        <w:autoSpaceDN w:val="0"/>
        <w:adjustRightInd w:val="0"/>
        <w:spacing w:after="0" w:line="240" w:lineRule="auto"/>
        <w:jc w:val="center"/>
        <w:rPr>
          <w:rFonts w:eastAsia="Times New Roman" w:cs="Arial"/>
          <w:b/>
          <w:sz w:val="28"/>
          <w:szCs w:val="28"/>
        </w:rPr>
      </w:pPr>
      <w:bookmarkStart w:id="0" w:name="_GoBack"/>
      <w:bookmarkEnd w:id="0"/>
      <w:r w:rsidRPr="006179A3">
        <w:rPr>
          <w:rFonts w:eastAsia="Times New Roman" w:cs="Arial"/>
          <w:b/>
          <w:sz w:val="28"/>
          <w:szCs w:val="28"/>
        </w:rPr>
        <w:t xml:space="preserve">Metal-based </w:t>
      </w:r>
      <w:proofErr w:type="spellStart"/>
      <w:r w:rsidRPr="006179A3">
        <w:rPr>
          <w:rFonts w:eastAsia="Times New Roman" w:cs="Arial"/>
          <w:b/>
          <w:sz w:val="28"/>
          <w:szCs w:val="28"/>
        </w:rPr>
        <w:t>Polypyridyl</w:t>
      </w:r>
      <w:proofErr w:type="spellEnd"/>
      <w:r w:rsidRPr="006179A3">
        <w:rPr>
          <w:rFonts w:eastAsia="Times New Roman" w:cs="Arial"/>
          <w:b/>
          <w:sz w:val="28"/>
          <w:szCs w:val="28"/>
        </w:rPr>
        <w:t xml:space="preserve"> Ligands: Catalysis, Redox </w:t>
      </w:r>
      <w:proofErr w:type="spellStart"/>
      <w:r w:rsidRPr="006179A3">
        <w:rPr>
          <w:rFonts w:eastAsia="Times New Roman" w:cs="Arial"/>
          <w:b/>
          <w:sz w:val="28"/>
          <w:szCs w:val="28"/>
        </w:rPr>
        <w:t>Behavior</w:t>
      </w:r>
      <w:proofErr w:type="spellEnd"/>
      <w:r w:rsidRPr="006179A3">
        <w:rPr>
          <w:rFonts w:eastAsia="Times New Roman" w:cs="Arial"/>
          <w:b/>
          <w:sz w:val="28"/>
          <w:szCs w:val="28"/>
        </w:rPr>
        <w:t xml:space="preserve"> and Supramolecular Assemblies</w:t>
      </w:r>
    </w:p>
    <w:p w:rsidR="00CB2481" w:rsidRDefault="00CB2481" w:rsidP="00831A28">
      <w:pPr>
        <w:autoSpaceDE w:val="0"/>
        <w:autoSpaceDN w:val="0"/>
        <w:adjustRightInd w:val="0"/>
        <w:spacing w:after="0" w:line="240" w:lineRule="auto"/>
        <w:rPr>
          <w:rFonts w:eastAsia="Times New Roman" w:cs="Arial"/>
        </w:rPr>
      </w:pPr>
    </w:p>
    <w:p w:rsidR="00A324AB" w:rsidRDefault="00A324AB" w:rsidP="00831A28">
      <w:pPr>
        <w:autoSpaceDE w:val="0"/>
        <w:autoSpaceDN w:val="0"/>
        <w:adjustRightInd w:val="0"/>
        <w:spacing w:after="0" w:line="240" w:lineRule="auto"/>
        <w:rPr>
          <w:rFonts w:eastAsia="Times New Roman" w:cs="Arial"/>
        </w:rPr>
      </w:pPr>
    </w:p>
    <w:p w:rsidR="00A324AB" w:rsidRPr="006179A3" w:rsidRDefault="008A14A3" w:rsidP="00E53C0D">
      <w:pPr>
        <w:autoSpaceDE w:val="0"/>
        <w:autoSpaceDN w:val="0"/>
        <w:adjustRightInd w:val="0"/>
        <w:spacing w:after="0" w:line="240" w:lineRule="auto"/>
        <w:ind w:firstLine="720"/>
        <w:jc w:val="both"/>
        <w:rPr>
          <w:sz w:val="20"/>
          <w:szCs w:val="20"/>
        </w:rPr>
      </w:pPr>
      <w:r w:rsidRPr="006179A3">
        <w:rPr>
          <w:rFonts w:eastAsia="Times New Roman" w:cs="Arial"/>
          <w:sz w:val="20"/>
          <w:szCs w:val="20"/>
        </w:rPr>
        <w:t xml:space="preserve">Neutral </w:t>
      </w:r>
      <w:proofErr w:type="spellStart"/>
      <w:proofErr w:type="gramStart"/>
      <w:r w:rsidRPr="006179A3">
        <w:rPr>
          <w:rFonts w:eastAsia="Times New Roman" w:cs="Arial"/>
          <w:sz w:val="20"/>
          <w:szCs w:val="20"/>
        </w:rPr>
        <w:t>tris</w:t>
      </w:r>
      <w:proofErr w:type="spellEnd"/>
      <w:r w:rsidRPr="006179A3">
        <w:rPr>
          <w:rFonts w:eastAsia="Times New Roman" w:cs="Arial"/>
          <w:sz w:val="20"/>
          <w:szCs w:val="20"/>
        </w:rPr>
        <w:t>(</w:t>
      </w:r>
      <w:proofErr w:type="gramEnd"/>
      <w:r w:rsidRPr="006179A3">
        <w:rPr>
          <w:rFonts w:eastAsia="Times New Roman" w:cs="Arial"/>
          <w:sz w:val="20"/>
          <w:szCs w:val="20"/>
        </w:rPr>
        <w:t>pyridyl) ligands of the general type [Y(</w:t>
      </w:r>
      <w:proofErr w:type="spellStart"/>
      <w:r w:rsidRPr="006179A3">
        <w:rPr>
          <w:rFonts w:eastAsia="Times New Roman" w:cs="Arial"/>
          <w:sz w:val="20"/>
          <w:szCs w:val="20"/>
        </w:rPr>
        <w:t>Py</w:t>
      </w:r>
      <w:proofErr w:type="spellEnd"/>
      <w:r w:rsidRPr="006179A3">
        <w:rPr>
          <w:rFonts w:eastAsia="Times New Roman" w:cs="Arial"/>
          <w:sz w:val="20"/>
          <w:szCs w:val="20"/>
        </w:rPr>
        <w:t>)</w:t>
      </w:r>
      <w:r w:rsidRPr="00DA5D8B">
        <w:rPr>
          <w:rFonts w:eastAsia="Times New Roman" w:cs="Arial"/>
          <w:sz w:val="20"/>
          <w:szCs w:val="20"/>
          <w:vertAlign w:val="subscript"/>
        </w:rPr>
        <w:t>3</w:t>
      </w:r>
      <w:r w:rsidRPr="006179A3">
        <w:rPr>
          <w:rFonts w:eastAsia="Times New Roman" w:cs="Arial"/>
          <w:sz w:val="20"/>
          <w:szCs w:val="20"/>
        </w:rPr>
        <w:t>] (</w:t>
      </w:r>
      <w:proofErr w:type="spellStart"/>
      <w:r w:rsidRPr="006179A3">
        <w:rPr>
          <w:rFonts w:eastAsia="Times New Roman" w:cs="Arial"/>
          <w:sz w:val="20"/>
          <w:szCs w:val="20"/>
        </w:rPr>
        <w:t>Py</w:t>
      </w:r>
      <w:proofErr w:type="spellEnd"/>
      <w:r w:rsidRPr="006179A3">
        <w:rPr>
          <w:rFonts w:eastAsia="Times New Roman" w:cs="Arial"/>
          <w:sz w:val="20"/>
          <w:szCs w:val="20"/>
        </w:rPr>
        <w:t xml:space="preserve"> =</w:t>
      </w:r>
      <w:r w:rsidR="004F5F22">
        <w:rPr>
          <w:rFonts w:eastAsia="Times New Roman" w:cs="Arial"/>
          <w:sz w:val="20"/>
          <w:szCs w:val="20"/>
        </w:rPr>
        <w:t xml:space="preserve"> </w:t>
      </w:r>
      <w:r w:rsidRPr="006179A3">
        <w:rPr>
          <w:rFonts w:eastAsia="Times New Roman" w:cs="Arial"/>
          <w:sz w:val="20"/>
          <w:szCs w:val="20"/>
        </w:rPr>
        <w:t xml:space="preserve">2-pyridyl, Y = CR, COR, CH, N, P, P=O, As; </w:t>
      </w:r>
      <w:r w:rsidRPr="006179A3">
        <w:rPr>
          <w:rFonts w:eastAsia="Times New Roman" w:cs="Arial"/>
          <w:b/>
          <w:sz w:val="20"/>
          <w:szCs w:val="20"/>
        </w:rPr>
        <w:t>A</w:t>
      </w:r>
      <w:r w:rsidRPr="006179A3">
        <w:rPr>
          <w:rFonts w:eastAsia="Times New Roman" w:cs="Arial"/>
          <w:sz w:val="20"/>
          <w:szCs w:val="20"/>
        </w:rPr>
        <w:t xml:space="preserve"> Fig. 1), </w:t>
      </w:r>
      <w:r w:rsidR="008E73B8" w:rsidRPr="006179A3">
        <w:rPr>
          <w:rFonts w:eastAsia="Times New Roman" w:cs="Arial"/>
          <w:sz w:val="20"/>
          <w:szCs w:val="20"/>
        </w:rPr>
        <w:t>have emerged as a new important family of ligands with interesting coordination characteristics, as shown by a large number o</w:t>
      </w:r>
      <w:r w:rsidR="00951ABD">
        <w:rPr>
          <w:rFonts w:eastAsia="Times New Roman" w:cs="Arial"/>
          <w:sz w:val="20"/>
          <w:szCs w:val="20"/>
        </w:rPr>
        <w:t>f studies in the past few years</w:t>
      </w:r>
      <w:r w:rsidR="008E73B8" w:rsidRPr="006179A3">
        <w:rPr>
          <w:rFonts w:eastAsia="Times New Roman" w:cs="Arial"/>
          <w:sz w:val="20"/>
          <w:szCs w:val="20"/>
        </w:rPr>
        <w:t xml:space="preserve"> and developing applications in catalysis. </w:t>
      </w:r>
      <w:r w:rsidR="000F6463" w:rsidRPr="006179A3">
        <w:rPr>
          <w:rFonts w:eastAsia="Times New Roman" w:cs="Arial"/>
          <w:sz w:val="20"/>
          <w:szCs w:val="20"/>
        </w:rPr>
        <w:t>However, most of these systems are based on relatively simple pyridine ligands with no elaboration or functionalization of their framework.</w:t>
      </w:r>
      <w:r w:rsidR="000F6463" w:rsidRPr="006179A3">
        <w:rPr>
          <w:sz w:val="20"/>
          <w:szCs w:val="20"/>
        </w:rPr>
        <w:t xml:space="preserve"> </w:t>
      </w:r>
      <w:r w:rsidR="00A324AB" w:rsidRPr="006179A3">
        <w:rPr>
          <w:sz w:val="20"/>
          <w:szCs w:val="20"/>
        </w:rPr>
        <w:t xml:space="preserve">It is been only relatively </w:t>
      </w:r>
      <w:proofErr w:type="gramStart"/>
      <w:r w:rsidR="00E56320">
        <w:rPr>
          <w:sz w:val="20"/>
          <w:szCs w:val="20"/>
        </w:rPr>
        <w:t>recently,</w:t>
      </w:r>
      <w:proofErr w:type="gramEnd"/>
      <w:r w:rsidR="00A324AB" w:rsidRPr="006179A3">
        <w:rPr>
          <w:sz w:val="20"/>
          <w:szCs w:val="20"/>
        </w:rPr>
        <w:t xml:space="preserve"> however, that attention has turned to ligands containing the heavier Group 13 and 14 atoms at the bridgehead. This change from a non-metallic to a more metallic atom in particular opens up the possibility of redox activity and variable oxidation states at the bridgehead.</w:t>
      </w:r>
    </w:p>
    <w:p w:rsidR="008A14A3" w:rsidRPr="006179A3" w:rsidRDefault="008A14A3" w:rsidP="00E53C0D">
      <w:pPr>
        <w:shd w:val="clear" w:color="auto" w:fill="FFFFFF"/>
        <w:spacing w:after="0" w:line="240" w:lineRule="auto"/>
        <w:ind w:firstLine="720"/>
        <w:jc w:val="both"/>
        <w:rPr>
          <w:rFonts w:eastAsia="Times New Roman" w:cs="Arial"/>
          <w:sz w:val="20"/>
          <w:szCs w:val="20"/>
        </w:rPr>
      </w:pPr>
      <w:r w:rsidRPr="006179A3">
        <w:rPr>
          <w:rFonts w:eastAsia="Times New Roman" w:cs="Arial"/>
          <w:sz w:val="20"/>
          <w:szCs w:val="20"/>
        </w:rPr>
        <w:t xml:space="preserve">In this program, we have developed a synthetic methodology to prepare new </w:t>
      </w:r>
      <w:proofErr w:type="spellStart"/>
      <w:r w:rsidRPr="006179A3">
        <w:rPr>
          <w:rFonts w:cs="AdvOT999035f4"/>
          <w:sz w:val="20"/>
          <w:szCs w:val="20"/>
        </w:rPr>
        <w:t>tris</w:t>
      </w:r>
      <w:proofErr w:type="spellEnd"/>
      <w:r w:rsidRPr="006179A3">
        <w:rPr>
          <w:rFonts w:cs="AdvOT999035f4"/>
          <w:sz w:val="20"/>
          <w:szCs w:val="20"/>
        </w:rPr>
        <w:t>(2-pyridyl) aluminate ligands [</w:t>
      </w:r>
      <w:proofErr w:type="spellStart"/>
      <w:r w:rsidRPr="006179A3">
        <w:rPr>
          <w:rFonts w:cs="AdvOT999035f4"/>
          <w:sz w:val="20"/>
          <w:szCs w:val="20"/>
        </w:rPr>
        <w:t>RAl</w:t>
      </w:r>
      <w:proofErr w:type="spellEnd"/>
      <w:r w:rsidRPr="006179A3">
        <w:rPr>
          <w:rFonts w:cs="AdvOT999035f4"/>
          <w:sz w:val="20"/>
          <w:szCs w:val="20"/>
        </w:rPr>
        <w:t>(2-py</w:t>
      </w:r>
      <w:r w:rsidRPr="006179A3">
        <w:rPr>
          <w:rFonts w:eastAsia="AdvTT5843c571+20" w:cs="AdvTT5843c571+20"/>
          <w:sz w:val="20"/>
          <w:szCs w:val="20"/>
        </w:rPr>
        <w:t>′</w:t>
      </w:r>
      <w:r w:rsidRPr="006179A3">
        <w:rPr>
          <w:rFonts w:cs="AdvOT999035f4"/>
          <w:sz w:val="20"/>
          <w:szCs w:val="20"/>
        </w:rPr>
        <w:t>)</w:t>
      </w:r>
      <w:r w:rsidRPr="00E56320">
        <w:rPr>
          <w:rFonts w:cs="AdvOT999035f4"/>
          <w:sz w:val="20"/>
          <w:szCs w:val="20"/>
          <w:vertAlign w:val="subscript"/>
        </w:rPr>
        <w:t>3</w:t>
      </w:r>
      <w:r w:rsidRPr="006179A3">
        <w:rPr>
          <w:rFonts w:cs="AdvOT999035f4"/>
          <w:sz w:val="20"/>
          <w:szCs w:val="20"/>
        </w:rPr>
        <w:t>] (</w:t>
      </w:r>
      <w:r w:rsidRPr="006179A3">
        <w:rPr>
          <w:rFonts w:cs="AdvOT999035f4"/>
          <w:b/>
          <w:sz w:val="20"/>
          <w:szCs w:val="20"/>
        </w:rPr>
        <w:t>B</w:t>
      </w:r>
      <w:r w:rsidRPr="006179A3">
        <w:rPr>
          <w:rFonts w:cs="AdvOT999035f4"/>
          <w:sz w:val="20"/>
          <w:szCs w:val="20"/>
        </w:rPr>
        <w:t>, Fig 1)</w:t>
      </w:r>
      <w:r w:rsidRPr="006179A3">
        <w:rPr>
          <w:rFonts w:eastAsia="Times New Roman" w:cs="Arial"/>
          <w:sz w:val="20"/>
          <w:szCs w:val="20"/>
        </w:rPr>
        <w:t xml:space="preserve"> in </w:t>
      </w:r>
      <w:proofErr w:type="spellStart"/>
      <w:r w:rsidRPr="006179A3">
        <w:rPr>
          <w:rFonts w:eastAsia="Times New Roman" w:cs="Arial"/>
          <w:sz w:val="20"/>
          <w:szCs w:val="20"/>
        </w:rPr>
        <w:t>multigram</w:t>
      </w:r>
      <w:proofErr w:type="spellEnd"/>
      <w:r w:rsidRPr="006179A3">
        <w:rPr>
          <w:rFonts w:eastAsia="Times New Roman" w:cs="Arial"/>
          <w:sz w:val="20"/>
          <w:szCs w:val="20"/>
        </w:rPr>
        <w:t xml:space="preserve"> scale containing different bridgehead groups (R’) and substituted (R) or non-substituted 2-pyridyl groups (2-py′) and studied the structure-reactivity relationship of such compounds. Although neither the bridgehead group (R</w:t>
      </w:r>
      <w:r w:rsidR="009840D7">
        <w:rPr>
          <w:rFonts w:eastAsia="Times New Roman" w:cs="Arial"/>
          <w:sz w:val="20"/>
          <w:szCs w:val="20"/>
        </w:rPr>
        <w:t>’</w:t>
      </w:r>
      <w:r w:rsidRPr="006179A3">
        <w:rPr>
          <w:rFonts w:eastAsia="Times New Roman" w:cs="Arial"/>
          <w:sz w:val="20"/>
          <w:szCs w:val="20"/>
        </w:rPr>
        <w:t>) nor remote ring Me-groups appear to have any steric or electronic impact on metal coordination, the introduction of Me groups into the pyridyl substituent at the 6-position has a marked effect on the ability of the ligands to form sandwich arrangements of the type [{</w:t>
      </w:r>
      <w:proofErr w:type="spellStart"/>
      <w:r w:rsidRPr="006179A3">
        <w:rPr>
          <w:rFonts w:eastAsia="Times New Roman" w:cs="Arial"/>
          <w:sz w:val="20"/>
          <w:szCs w:val="20"/>
        </w:rPr>
        <w:t>RAl</w:t>
      </w:r>
      <w:proofErr w:type="spellEnd"/>
      <w:r w:rsidRPr="006179A3">
        <w:rPr>
          <w:rFonts w:eastAsia="Times New Roman" w:cs="Arial"/>
          <w:sz w:val="20"/>
          <w:szCs w:val="20"/>
        </w:rPr>
        <w:t>(2-py′)</w:t>
      </w:r>
      <w:r w:rsidRPr="00E53C0D">
        <w:rPr>
          <w:rFonts w:eastAsia="Times New Roman" w:cs="Arial"/>
          <w:sz w:val="20"/>
          <w:szCs w:val="20"/>
          <w:vertAlign w:val="subscript"/>
        </w:rPr>
        <w:t>3</w:t>
      </w:r>
      <w:r w:rsidRPr="006179A3">
        <w:rPr>
          <w:rFonts w:eastAsia="Times New Roman" w:cs="Arial"/>
          <w:sz w:val="20"/>
          <w:szCs w:val="20"/>
        </w:rPr>
        <w:t>}</w:t>
      </w:r>
      <w:r w:rsidRPr="00E53C0D">
        <w:rPr>
          <w:rFonts w:eastAsia="Times New Roman" w:cs="Arial"/>
          <w:sz w:val="20"/>
          <w:szCs w:val="20"/>
          <w:vertAlign w:val="subscript"/>
        </w:rPr>
        <w:t>2</w:t>
      </w:r>
      <w:r w:rsidRPr="006179A3">
        <w:rPr>
          <w:rFonts w:eastAsia="Times New Roman" w:cs="Arial"/>
          <w:sz w:val="20"/>
          <w:szCs w:val="20"/>
        </w:rPr>
        <w:t xml:space="preserve">M. </w:t>
      </w:r>
      <w:r w:rsidRPr="006179A3">
        <w:rPr>
          <w:sz w:val="20"/>
          <w:szCs w:val="20"/>
        </w:rPr>
        <w:t>We have also developed a convenient synthetic methodology, using a set of ligand exchange reactions in which the lithium precursors [</w:t>
      </w:r>
      <w:proofErr w:type="spellStart"/>
      <w:proofErr w:type="gramStart"/>
      <w:r w:rsidRPr="006179A3">
        <w:rPr>
          <w:sz w:val="20"/>
          <w:szCs w:val="20"/>
        </w:rPr>
        <w:t>RAl</w:t>
      </w:r>
      <w:proofErr w:type="spellEnd"/>
      <w:r w:rsidRPr="006179A3">
        <w:rPr>
          <w:sz w:val="20"/>
          <w:szCs w:val="20"/>
        </w:rPr>
        <w:t>(</w:t>
      </w:r>
      <w:proofErr w:type="gramEnd"/>
      <w:r w:rsidRPr="006179A3">
        <w:rPr>
          <w:sz w:val="20"/>
          <w:szCs w:val="20"/>
        </w:rPr>
        <w:t>2-py´)</w:t>
      </w:r>
      <w:r w:rsidRPr="00E53C0D">
        <w:rPr>
          <w:sz w:val="20"/>
          <w:szCs w:val="20"/>
          <w:vertAlign w:val="subscript"/>
        </w:rPr>
        <w:t>3</w:t>
      </w:r>
      <w:r w:rsidRPr="006179A3">
        <w:rPr>
          <w:sz w:val="20"/>
          <w:szCs w:val="20"/>
        </w:rPr>
        <w:t>Li] react with M(II)-halides (MX</w:t>
      </w:r>
      <w:r w:rsidRPr="006179A3">
        <w:rPr>
          <w:sz w:val="20"/>
          <w:szCs w:val="20"/>
          <w:vertAlign w:val="subscript"/>
        </w:rPr>
        <w:t>2</w:t>
      </w:r>
      <w:r w:rsidRPr="006179A3">
        <w:rPr>
          <w:sz w:val="20"/>
          <w:szCs w:val="20"/>
        </w:rPr>
        <w:t xml:space="preserve">) or </w:t>
      </w:r>
      <w:proofErr w:type="spellStart"/>
      <w:r w:rsidRPr="006179A3">
        <w:rPr>
          <w:sz w:val="20"/>
          <w:szCs w:val="20"/>
        </w:rPr>
        <w:t>cyclopentadienide</w:t>
      </w:r>
      <w:proofErr w:type="spellEnd"/>
      <w:r w:rsidRPr="006179A3">
        <w:rPr>
          <w:sz w:val="20"/>
          <w:szCs w:val="20"/>
        </w:rPr>
        <w:t xml:space="preserve"> reagents (MCp</w:t>
      </w:r>
      <w:r w:rsidRPr="006179A3">
        <w:rPr>
          <w:sz w:val="20"/>
          <w:szCs w:val="20"/>
          <w:vertAlign w:val="subscript"/>
        </w:rPr>
        <w:t>2</w:t>
      </w:r>
      <w:r w:rsidRPr="006179A3">
        <w:rPr>
          <w:sz w:val="20"/>
          <w:szCs w:val="20"/>
        </w:rPr>
        <w:t xml:space="preserve">), to access different </w:t>
      </w:r>
      <w:proofErr w:type="spellStart"/>
      <w:r w:rsidRPr="006179A3">
        <w:rPr>
          <w:sz w:val="20"/>
          <w:szCs w:val="20"/>
        </w:rPr>
        <w:t>heterometallic</w:t>
      </w:r>
      <w:proofErr w:type="spellEnd"/>
      <w:r w:rsidRPr="006179A3">
        <w:rPr>
          <w:sz w:val="20"/>
          <w:szCs w:val="20"/>
        </w:rPr>
        <w:t xml:space="preserve"> complexes. From these studies, we have found that </w:t>
      </w:r>
      <w:r w:rsidRPr="006179A3">
        <w:rPr>
          <w:rFonts w:eastAsia="Times New Roman" w:cs="Arial"/>
          <w:sz w:val="20"/>
          <w:szCs w:val="20"/>
        </w:rPr>
        <w:t>the electronic and steric properties of the ligand can be easily tuned though the introduction of</w:t>
      </w:r>
      <w:r w:rsidRPr="006179A3">
        <w:rPr>
          <w:sz w:val="20"/>
          <w:szCs w:val="20"/>
        </w:rPr>
        <w:t xml:space="preserve"> groups </w:t>
      </w:r>
      <w:r w:rsidRPr="006179A3">
        <w:rPr>
          <w:rFonts w:eastAsia="Times New Roman" w:cs="Arial"/>
          <w:sz w:val="20"/>
          <w:szCs w:val="20"/>
        </w:rPr>
        <w:t>at the 6 position of the pyridyl ring (R =</w:t>
      </w:r>
      <w:r w:rsidR="0024186A">
        <w:rPr>
          <w:rFonts w:eastAsia="Times New Roman" w:cs="Arial"/>
          <w:sz w:val="20"/>
          <w:szCs w:val="20"/>
        </w:rPr>
        <w:t xml:space="preserve"> </w:t>
      </w:r>
      <w:r w:rsidRPr="006179A3">
        <w:rPr>
          <w:rFonts w:eastAsia="Times New Roman" w:cs="Arial"/>
          <w:sz w:val="20"/>
          <w:szCs w:val="20"/>
        </w:rPr>
        <w:t>CH</w:t>
      </w:r>
      <w:r w:rsidRPr="00E53C0D">
        <w:rPr>
          <w:rFonts w:eastAsia="Times New Roman" w:cs="Arial"/>
          <w:sz w:val="20"/>
          <w:szCs w:val="20"/>
          <w:vertAlign w:val="subscript"/>
        </w:rPr>
        <w:t>3</w:t>
      </w:r>
      <w:r w:rsidRPr="006179A3">
        <w:rPr>
          <w:rFonts w:eastAsia="Times New Roman" w:cs="Arial"/>
          <w:sz w:val="20"/>
          <w:szCs w:val="20"/>
        </w:rPr>
        <w:t>, CF</w:t>
      </w:r>
      <w:r w:rsidRPr="00E53C0D">
        <w:rPr>
          <w:rFonts w:eastAsia="Times New Roman" w:cs="Arial"/>
          <w:sz w:val="20"/>
          <w:szCs w:val="20"/>
          <w:vertAlign w:val="subscript"/>
        </w:rPr>
        <w:t>3</w:t>
      </w:r>
      <w:r w:rsidRPr="006179A3">
        <w:rPr>
          <w:rFonts w:eastAsia="Times New Roman" w:cs="Arial"/>
          <w:sz w:val="20"/>
          <w:szCs w:val="20"/>
        </w:rPr>
        <w:t xml:space="preserve">, and Br). The introduction of such groups </w:t>
      </w:r>
      <w:r w:rsidRPr="006179A3">
        <w:rPr>
          <w:sz w:val="20"/>
          <w:szCs w:val="20"/>
        </w:rPr>
        <w:t xml:space="preserve">greatly affects the coordination properties of the ligand and can be potentially used for the stabilisation of unusual metal oxidation states. These studies also show that, unlike other main group metal bridged </w:t>
      </w:r>
      <w:proofErr w:type="spellStart"/>
      <w:r w:rsidRPr="006179A3">
        <w:rPr>
          <w:sz w:val="20"/>
          <w:szCs w:val="20"/>
        </w:rPr>
        <w:t>tris</w:t>
      </w:r>
      <w:proofErr w:type="spellEnd"/>
      <w:r w:rsidRPr="006179A3">
        <w:rPr>
          <w:sz w:val="20"/>
          <w:szCs w:val="20"/>
        </w:rPr>
        <w:t xml:space="preserve">-pyridyl ligand systems (such as the </w:t>
      </w:r>
      <w:proofErr w:type="spellStart"/>
      <w:r w:rsidRPr="006179A3">
        <w:rPr>
          <w:sz w:val="20"/>
          <w:szCs w:val="20"/>
        </w:rPr>
        <w:t>Sn</w:t>
      </w:r>
      <w:r w:rsidRPr="006179A3">
        <w:rPr>
          <w:sz w:val="20"/>
          <w:szCs w:val="20"/>
          <w:vertAlign w:val="superscript"/>
        </w:rPr>
        <w:t>II</w:t>
      </w:r>
      <w:proofErr w:type="spellEnd"/>
      <w:r w:rsidRPr="006179A3">
        <w:rPr>
          <w:sz w:val="20"/>
          <w:szCs w:val="20"/>
        </w:rPr>
        <w:t xml:space="preserve"> variant [</w:t>
      </w:r>
      <w:proofErr w:type="gramStart"/>
      <w:r w:rsidRPr="006179A3">
        <w:rPr>
          <w:sz w:val="20"/>
          <w:szCs w:val="20"/>
        </w:rPr>
        <w:t>Sn(</w:t>
      </w:r>
      <w:proofErr w:type="gramEnd"/>
      <w:r w:rsidRPr="006179A3">
        <w:rPr>
          <w:sz w:val="20"/>
          <w:szCs w:val="20"/>
        </w:rPr>
        <w:t>2-py)</w:t>
      </w:r>
      <w:r w:rsidRPr="006179A3">
        <w:rPr>
          <w:sz w:val="20"/>
          <w:szCs w:val="20"/>
          <w:vertAlign w:val="subscript"/>
        </w:rPr>
        <w:t>3</w:t>
      </w:r>
      <w:r w:rsidRPr="006179A3">
        <w:rPr>
          <w:sz w:val="20"/>
          <w:szCs w:val="20"/>
        </w:rPr>
        <w:t>]</w:t>
      </w:r>
      <w:r w:rsidRPr="006179A3">
        <w:rPr>
          <w:sz w:val="20"/>
          <w:szCs w:val="20"/>
          <w:vertAlign w:val="superscript"/>
        </w:rPr>
        <w:t>-</w:t>
      </w:r>
      <w:r w:rsidRPr="006179A3">
        <w:rPr>
          <w:sz w:val="20"/>
          <w:szCs w:val="20"/>
        </w:rPr>
        <w:t>), the presence of Al provides a redox-stable ligand set. This is best illustrated by the stabilisation of Sm</w:t>
      </w:r>
      <w:r w:rsidRPr="006179A3">
        <w:rPr>
          <w:sz w:val="20"/>
          <w:szCs w:val="20"/>
          <w:vertAlign w:val="superscript"/>
        </w:rPr>
        <w:t>2+</w:t>
      </w:r>
      <w:r w:rsidRPr="006179A3">
        <w:rPr>
          <w:sz w:val="20"/>
          <w:szCs w:val="20"/>
        </w:rPr>
        <w:t xml:space="preserve"> in the sandwich compound [{</w:t>
      </w:r>
      <w:proofErr w:type="spellStart"/>
      <w:proofErr w:type="gramStart"/>
      <w:r w:rsidRPr="006179A3">
        <w:rPr>
          <w:sz w:val="20"/>
          <w:szCs w:val="20"/>
        </w:rPr>
        <w:t>EtAl</w:t>
      </w:r>
      <w:proofErr w:type="spellEnd"/>
      <w:r w:rsidRPr="006179A3">
        <w:rPr>
          <w:sz w:val="20"/>
          <w:szCs w:val="20"/>
        </w:rPr>
        <w:t>(</w:t>
      </w:r>
      <w:proofErr w:type="gramEnd"/>
      <w:r w:rsidRPr="006179A3">
        <w:rPr>
          <w:sz w:val="20"/>
          <w:szCs w:val="20"/>
        </w:rPr>
        <w:t>2-py)</w:t>
      </w:r>
      <w:r w:rsidRPr="006179A3">
        <w:rPr>
          <w:sz w:val="20"/>
          <w:szCs w:val="20"/>
          <w:vertAlign w:val="subscript"/>
        </w:rPr>
        <w:t>3</w:t>
      </w:r>
      <w:r w:rsidRPr="006179A3">
        <w:rPr>
          <w:sz w:val="20"/>
          <w:szCs w:val="20"/>
        </w:rPr>
        <w:t>}</w:t>
      </w:r>
      <w:r w:rsidRPr="006179A3">
        <w:rPr>
          <w:sz w:val="20"/>
          <w:szCs w:val="20"/>
          <w:vertAlign w:val="subscript"/>
        </w:rPr>
        <w:t>2</w:t>
      </w:r>
      <w:r w:rsidRPr="006179A3">
        <w:rPr>
          <w:sz w:val="20"/>
          <w:szCs w:val="20"/>
        </w:rPr>
        <w:t>Sm</w:t>
      </w:r>
      <w:r w:rsidR="00CC4398" w:rsidRPr="006179A3">
        <w:rPr>
          <w:sz w:val="20"/>
          <w:szCs w:val="20"/>
        </w:rPr>
        <w:t>]</w:t>
      </w:r>
      <w:r w:rsidRPr="006179A3">
        <w:rPr>
          <w:sz w:val="20"/>
          <w:szCs w:val="20"/>
          <w:lang w:val="en-US"/>
        </w:rPr>
        <w:t>, a very rare example of this type of sandwich structure containing this metal in the II-oxidation state</w:t>
      </w:r>
      <w:r w:rsidR="00E53C0D">
        <w:rPr>
          <w:sz w:val="20"/>
          <w:szCs w:val="20"/>
          <w:lang w:val="en-US"/>
        </w:rPr>
        <w:t>.</w:t>
      </w:r>
    </w:p>
    <w:p w:rsidR="008A14A3" w:rsidRPr="006179A3" w:rsidRDefault="008A14A3" w:rsidP="00831A28">
      <w:pPr>
        <w:autoSpaceDE w:val="0"/>
        <w:autoSpaceDN w:val="0"/>
        <w:adjustRightInd w:val="0"/>
        <w:spacing w:after="0" w:line="240" w:lineRule="auto"/>
        <w:rPr>
          <w:sz w:val="20"/>
          <w:szCs w:val="20"/>
        </w:rPr>
      </w:pPr>
    </w:p>
    <w:p w:rsidR="008A14A3" w:rsidRPr="006179A3" w:rsidRDefault="00EB570B" w:rsidP="00831A28">
      <w:pPr>
        <w:autoSpaceDE w:val="0"/>
        <w:autoSpaceDN w:val="0"/>
        <w:adjustRightInd w:val="0"/>
        <w:spacing w:after="0" w:line="240" w:lineRule="auto"/>
        <w:rPr>
          <w:sz w:val="20"/>
          <w:szCs w:val="20"/>
        </w:rPr>
      </w:pPr>
      <w:r w:rsidRPr="006179A3">
        <w:rPr>
          <w:sz w:val="20"/>
          <w:szCs w:val="20"/>
        </w:rPr>
        <w:object w:dxaOrig="8687" w:dyaOrig="2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5pt;height:119.7pt" o:ole="">
            <v:imagedata r:id="rId8" o:title=""/>
          </v:shape>
          <o:OLEObject Type="Embed" ProgID="ChemDraw.Document.6.0" ShapeID="_x0000_i1025" DrawAspect="Content" ObjectID="_1519545307" r:id="rId9"/>
        </w:object>
      </w:r>
    </w:p>
    <w:p w:rsidR="008A14A3" w:rsidRPr="006179A3" w:rsidRDefault="00CC4398" w:rsidP="006179A3">
      <w:pPr>
        <w:autoSpaceDE w:val="0"/>
        <w:autoSpaceDN w:val="0"/>
        <w:adjustRightInd w:val="0"/>
        <w:spacing w:after="0" w:line="240" w:lineRule="auto"/>
        <w:jc w:val="both"/>
        <w:rPr>
          <w:sz w:val="20"/>
          <w:szCs w:val="20"/>
        </w:rPr>
      </w:pPr>
      <w:proofErr w:type="gramStart"/>
      <w:r w:rsidRPr="006179A3">
        <w:rPr>
          <w:b/>
          <w:sz w:val="20"/>
          <w:szCs w:val="20"/>
        </w:rPr>
        <w:t>Fig</w:t>
      </w:r>
      <w:r w:rsidR="002450B9">
        <w:rPr>
          <w:b/>
          <w:sz w:val="20"/>
          <w:szCs w:val="20"/>
        </w:rPr>
        <w:t>.</w:t>
      </w:r>
      <w:r w:rsidRPr="006179A3">
        <w:rPr>
          <w:b/>
          <w:sz w:val="20"/>
          <w:szCs w:val="20"/>
        </w:rPr>
        <w:t xml:space="preserve"> 1</w:t>
      </w:r>
      <w:r w:rsidRPr="006179A3">
        <w:rPr>
          <w:sz w:val="20"/>
          <w:szCs w:val="20"/>
        </w:rPr>
        <w:t>.</w:t>
      </w:r>
      <w:proofErr w:type="gramEnd"/>
      <w:r w:rsidRPr="006179A3">
        <w:rPr>
          <w:sz w:val="20"/>
          <w:szCs w:val="20"/>
        </w:rPr>
        <w:t xml:space="preserve"> The framework found in the family of </w:t>
      </w:r>
      <w:proofErr w:type="spellStart"/>
      <w:proofErr w:type="gramStart"/>
      <w:r w:rsidRPr="006179A3">
        <w:rPr>
          <w:sz w:val="20"/>
          <w:szCs w:val="20"/>
        </w:rPr>
        <w:t>tris</w:t>
      </w:r>
      <w:proofErr w:type="spellEnd"/>
      <w:r w:rsidRPr="006179A3">
        <w:rPr>
          <w:sz w:val="20"/>
          <w:szCs w:val="20"/>
        </w:rPr>
        <w:t>(</w:t>
      </w:r>
      <w:proofErr w:type="gramEnd"/>
      <w:r w:rsidRPr="006179A3">
        <w:rPr>
          <w:sz w:val="20"/>
          <w:szCs w:val="20"/>
        </w:rPr>
        <w:t>2-pyridyl) ligands (</w:t>
      </w:r>
      <w:r w:rsidRPr="002450B9">
        <w:rPr>
          <w:b/>
          <w:sz w:val="20"/>
          <w:szCs w:val="20"/>
        </w:rPr>
        <w:t>A</w:t>
      </w:r>
      <w:r w:rsidRPr="006179A3">
        <w:rPr>
          <w:sz w:val="20"/>
          <w:szCs w:val="20"/>
        </w:rPr>
        <w:t xml:space="preserve">), the </w:t>
      </w:r>
      <w:proofErr w:type="spellStart"/>
      <w:r w:rsidRPr="006179A3">
        <w:rPr>
          <w:sz w:val="20"/>
          <w:szCs w:val="20"/>
        </w:rPr>
        <w:t>tris</w:t>
      </w:r>
      <w:proofErr w:type="spellEnd"/>
      <w:r w:rsidRPr="006179A3">
        <w:rPr>
          <w:sz w:val="20"/>
          <w:szCs w:val="20"/>
        </w:rPr>
        <w:t>(2-pyridyl)aluminate family of ligands (</w:t>
      </w:r>
      <w:r w:rsidRPr="002450B9">
        <w:rPr>
          <w:b/>
          <w:sz w:val="20"/>
          <w:szCs w:val="20"/>
        </w:rPr>
        <w:t>B</w:t>
      </w:r>
      <w:r w:rsidRPr="006179A3">
        <w:rPr>
          <w:sz w:val="20"/>
          <w:szCs w:val="20"/>
        </w:rPr>
        <w:t>), and the sandwich compound [{</w:t>
      </w:r>
      <w:proofErr w:type="spellStart"/>
      <w:r w:rsidRPr="006179A3">
        <w:rPr>
          <w:sz w:val="20"/>
          <w:szCs w:val="20"/>
        </w:rPr>
        <w:t>EtAl</w:t>
      </w:r>
      <w:proofErr w:type="spellEnd"/>
      <w:r w:rsidRPr="006179A3">
        <w:rPr>
          <w:sz w:val="20"/>
          <w:szCs w:val="20"/>
        </w:rPr>
        <w:t>(2-py)</w:t>
      </w:r>
      <w:r w:rsidRPr="006179A3">
        <w:rPr>
          <w:sz w:val="20"/>
          <w:szCs w:val="20"/>
          <w:vertAlign w:val="subscript"/>
        </w:rPr>
        <w:t>3</w:t>
      </w:r>
      <w:r w:rsidRPr="006179A3">
        <w:rPr>
          <w:sz w:val="20"/>
          <w:szCs w:val="20"/>
        </w:rPr>
        <w:t>}</w:t>
      </w:r>
      <w:r w:rsidRPr="006179A3">
        <w:rPr>
          <w:sz w:val="20"/>
          <w:szCs w:val="20"/>
          <w:vertAlign w:val="subscript"/>
        </w:rPr>
        <w:t>2</w:t>
      </w:r>
      <w:r w:rsidRPr="006179A3">
        <w:rPr>
          <w:sz w:val="20"/>
          <w:szCs w:val="20"/>
        </w:rPr>
        <w:t>Sm]</w:t>
      </w:r>
      <w:r w:rsidR="002450B9">
        <w:rPr>
          <w:sz w:val="20"/>
          <w:szCs w:val="20"/>
        </w:rPr>
        <w:t xml:space="preserve"> </w:t>
      </w:r>
      <w:r w:rsidRPr="006179A3">
        <w:rPr>
          <w:sz w:val="20"/>
          <w:szCs w:val="20"/>
        </w:rPr>
        <w:t>(</w:t>
      </w:r>
      <w:r w:rsidRPr="002450B9">
        <w:rPr>
          <w:b/>
          <w:sz w:val="20"/>
          <w:szCs w:val="20"/>
        </w:rPr>
        <w:t>C</w:t>
      </w:r>
      <w:r w:rsidRPr="006179A3">
        <w:rPr>
          <w:sz w:val="20"/>
          <w:szCs w:val="20"/>
        </w:rPr>
        <w:t>).</w:t>
      </w:r>
    </w:p>
    <w:p w:rsidR="00CB2481" w:rsidRPr="006179A3" w:rsidRDefault="00CB2481" w:rsidP="006179A3">
      <w:pPr>
        <w:shd w:val="clear" w:color="auto" w:fill="FFFFFF"/>
        <w:spacing w:after="0" w:line="240" w:lineRule="auto"/>
        <w:jc w:val="both"/>
        <w:rPr>
          <w:rFonts w:eastAsia="Times New Roman" w:cs="Arial"/>
          <w:sz w:val="20"/>
          <w:szCs w:val="20"/>
        </w:rPr>
      </w:pPr>
    </w:p>
    <w:p w:rsidR="00CB2481" w:rsidRPr="006179A3" w:rsidRDefault="00CB2481" w:rsidP="00E53C0D">
      <w:pPr>
        <w:shd w:val="clear" w:color="auto" w:fill="FFFFFF"/>
        <w:spacing w:after="0" w:line="240" w:lineRule="auto"/>
        <w:ind w:firstLine="720"/>
        <w:jc w:val="both"/>
        <w:rPr>
          <w:sz w:val="20"/>
          <w:szCs w:val="20"/>
        </w:rPr>
      </w:pPr>
      <w:r w:rsidRPr="006179A3">
        <w:rPr>
          <w:rFonts w:eastAsia="Times New Roman" w:cs="Arial"/>
          <w:sz w:val="20"/>
          <w:szCs w:val="20"/>
        </w:rPr>
        <w:t>Although the introduction of electron-withdrawing groups such as CF</w:t>
      </w:r>
      <w:r w:rsidRPr="006179A3">
        <w:rPr>
          <w:rFonts w:eastAsia="Times New Roman" w:cs="Arial"/>
          <w:sz w:val="20"/>
          <w:szCs w:val="20"/>
          <w:vertAlign w:val="subscript"/>
        </w:rPr>
        <w:t>3</w:t>
      </w:r>
      <w:r w:rsidRPr="006179A3">
        <w:rPr>
          <w:rFonts w:eastAsia="Times New Roman" w:cs="Arial"/>
          <w:sz w:val="20"/>
          <w:szCs w:val="20"/>
        </w:rPr>
        <w:t xml:space="preserve"> and Br into the 6-positions of the pyridyl ring completely blocks the coordination behaviour of the ligand, this steric effect can potentially be turned to an advantage in the stabilization of unusual </w:t>
      </w:r>
      <w:proofErr w:type="spellStart"/>
      <w:r w:rsidRPr="006179A3">
        <w:rPr>
          <w:rFonts w:eastAsia="Times New Roman" w:cs="Arial"/>
          <w:sz w:val="20"/>
          <w:szCs w:val="20"/>
        </w:rPr>
        <w:t>A</w:t>
      </w:r>
      <w:r w:rsidRPr="002450B9">
        <w:rPr>
          <w:rFonts w:eastAsia="Times New Roman" w:cs="Arial"/>
          <w:sz w:val="20"/>
          <w:szCs w:val="20"/>
        </w:rPr>
        <w:t>l</w:t>
      </w:r>
      <w:r w:rsidRPr="006179A3">
        <w:rPr>
          <w:rFonts w:eastAsia="Times New Roman" w:cs="Arial"/>
          <w:sz w:val="20"/>
          <w:szCs w:val="20"/>
          <w:vertAlign w:val="superscript"/>
        </w:rPr>
        <w:t>III</w:t>
      </w:r>
      <w:proofErr w:type="spellEnd"/>
      <w:r w:rsidRPr="006179A3">
        <w:rPr>
          <w:rFonts w:eastAsia="Times New Roman" w:cs="Arial"/>
          <w:sz w:val="20"/>
          <w:szCs w:val="20"/>
        </w:rPr>
        <w:t xml:space="preserve"> complexes. </w:t>
      </w:r>
      <w:r w:rsidR="00FF3505" w:rsidRPr="006179A3">
        <w:rPr>
          <w:rFonts w:eastAsia="Times New Roman" w:cs="Arial"/>
          <w:sz w:val="20"/>
          <w:szCs w:val="20"/>
        </w:rPr>
        <w:t xml:space="preserve">An example of the effects of this is seen in the stabilization of terminal Al-OH groups in a new class of stable </w:t>
      </w:r>
      <w:proofErr w:type="spellStart"/>
      <w:r w:rsidR="00FF3505" w:rsidRPr="006179A3">
        <w:rPr>
          <w:rFonts w:eastAsia="Times New Roman" w:cs="Arial"/>
          <w:sz w:val="20"/>
          <w:szCs w:val="20"/>
        </w:rPr>
        <w:t>heteroleptic</w:t>
      </w:r>
      <w:proofErr w:type="spellEnd"/>
      <w:r w:rsidR="00FF3505" w:rsidRPr="006179A3">
        <w:rPr>
          <w:rFonts w:eastAsia="Times New Roman" w:cs="Arial"/>
          <w:sz w:val="20"/>
          <w:szCs w:val="20"/>
        </w:rPr>
        <w:t xml:space="preserve"> aluminium 2-py/OH complex</w:t>
      </w:r>
      <w:r w:rsidR="00EB570B" w:rsidRPr="006179A3">
        <w:rPr>
          <w:rFonts w:eastAsia="Times New Roman" w:cs="Arial"/>
          <w:sz w:val="20"/>
          <w:szCs w:val="20"/>
        </w:rPr>
        <w:t>es (</w:t>
      </w:r>
      <w:r w:rsidR="00EB570B" w:rsidRPr="00B37BA5">
        <w:rPr>
          <w:rFonts w:eastAsia="Times New Roman" w:cs="Arial"/>
          <w:b/>
          <w:sz w:val="20"/>
          <w:szCs w:val="20"/>
        </w:rPr>
        <w:t>C</w:t>
      </w:r>
      <w:r w:rsidR="00EB570B" w:rsidRPr="006179A3">
        <w:rPr>
          <w:rFonts w:eastAsia="Times New Roman" w:cs="Arial"/>
          <w:sz w:val="20"/>
          <w:szCs w:val="20"/>
        </w:rPr>
        <w:t>,</w:t>
      </w:r>
      <w:r w:rsidR="00CC4398" w:rsidRPr="006179A3">
        <w:rPr>
          <w:rFonts w:eastAsia="Times New Roman" w:cs="Arial"/>
          <w:sz w:val="20"/>
          <w:szCs w:val="20"/>
        </w:rPr>
        <w:t xml:space="preserve"> </w:t>
      </w:r>
      <w:r w:rsidR="00EB570B" w:rsidRPr="006179A3">
        <w:rPr>
          <w:rFonts w:eastAsia="Times New Roman" w:cs="Arial"/>
          <w:sz w:val="20"/>
          <w:szCs w:val="20"/>
        </w:rPr>
        <w:t>Fig 1</w:t>
      </w:r>
      <w:r w:rsidR="00FF3505" w:rsidRPr="006179A3">
        <w:rPr>
          <w:rFonts w:eastAsia="Times New Roman" w:cs="Arial"/>
          <w:sz w:val="20"/>
          <w:szCs w:val="20"/>
        </w:rPr>
        <w:t>).</w:t>
      </w:r>
      <w:r w:rsidRPr="006179A3">
        <w:rPr>
          <w:rFonts w:eastAsia="Times New Roman" w:cs="Arial"/>
          <w:sz w:val="20"/>
          <w:szCs w:val="20"/>
        </w:rPr>
        <w:t xml:space="preserve"> Facile incorporation of alcohols into </w:t>
      </w:r>
      <w:proofErr w:type="spellStart"/>
      <w:r w:rsidRPr="006179A3">
        <w:rPr>
          <w:rFonts w:eastAsia="Times New Roman" w:cs="Arial"/>
          <w:sz w:val="20"/>
          <w:szCs w:val="20"/>
        </w:rPr>
        <w:t>heteroleptic</w:t>
      </w:r>
      <w:proofErr w:type="spellEnd"/>
      <w:r w:rsidRPr="006179A3">
        <w:rPr>
          <w:rFonts w:eastAsia="Times New Roman" w:cs="Arial"/>
          <w:sz w:val="20"/>
          <w:szCs w:val="20"/>
        </w:rPr>
        <w:t xml:space="preserve"> 2-py ligand arrangements can also be accomplished. This opens up a new avenue for extensive elaboration of the steric and donor character of these ligands and the introduction of chirality (in the form of chiral </w:t>
      </w:r>
      <w:proofErr w:type="spellStart"/>
      <w:r w:rsidRPr="006179A3">
        <w:rPr>
          <w:rFonts w:eastAsia="Times New Roman" w:cs="Arial"/>
          <w:sz w:val="20"/>
          <w:szCs w:val="20"/>
        </w:rPr>
        <w:t>alkoxide</w:t>
      </w:r>
      <w:proofErr w:type="spellEnd"/>
      <w:r w:rsidRPr="006179A3">
        <w:rPr>
          <w:rFonts w:eastAsia="Times New Roman" w:cs="Arial"/>
          <w:sz w:val="20"/>
          <w:szCs w:val="20"/>
        </w:rPr>
        <w:t xml:space="preserve"> ligands</w:t>
      </w:r>
      <w:r w:rsidR="001E5F65" w:rsidRPr="006179A3">
        <w:rPr>
          <w:rFonts w:eastAsia="Times New Roman" w:cs="Arial"/>
          <w:sz w:val="20"/>
          <w:szCs w:val="20"/>
        </w:rPr>
        <w:t>, s</w:t>
      </w:r>
      <w:r w:rsidRPr="006179A3">
        <w:rPr>
          <w:rFonts w:eastAsia="Times New Roman" w:cs="Arial"/>
          <w:sz w:val="20"/>
          <w:szCs w:val="20"/>
        </w:rPr>
        <w:t xml:space="preserve">ee below). </w:t>
      </w:r>
    </w:p>
    <w:p w:rsidR="00C01D11" w:rsidRPr="006179A3" w:rsidRDefault="001303E8" w:rsidP="00E53C0D">
      <w:pPr>
        <w:autoSpaceDE w:val="0"/>
        <w:autoSpaceDN w:val="0"/>
        <w:adjustRightInd w:val="0"/>
        <w:spacing w:after="0" w:line="240" w:lineRule="auto"/>
        <w:ind w:firstLine="720"/>
        <w:contextualSpacing/>
        <w:jc w:val="both"/>
        <w:rPr>
          <w:color w:val="000000"/>
          <w:sz w:val="20"/>
          <w:szCs w:val="20"/>
          <w:lang w:val="en-US"/>
        </w:rPr>
      </w:pPr>
      <w:r w:rsidRPr="006179A3">
        <w:rPr>
          <w:sz w:val="20"/>
          <w:szCs w:val="20"/>
          <w:lang w:val="en-US"/>
        </w:rPr>
        <w:t xml:space="preserve">In the course of the project we have explored other unknown facets of pyridyl aluminate ligands, such as the ability of </w:t>
      </w:r>
      <w:proofErr w:type="spellStart"/>
      <w:r w:rsidRPr="006179A3">
        <w:rPr>
          <w:sz w:val="20"/>
          <w:szCs w:val="20"/>
          <w:lang w:val="en-US"/>
        </w:rPr>
        <w:t>tris</w:t>
      </w:r>
      <w:proofErr w:type="spellEnd"/>
      <w:r w:rsidRPr="006179A3">
        <w:rPr>
          <w:sz w:val="20"/>
          <w:szCs w:val="20"/>
          <w:lang w:val="en-US"/>
        </w:rPr>
        <w:t>(pyridyl) aluminates to act as ‘soft’ pyridyl transfer reagents, allowing the direct synthesis of (</w:t>
      </w:r>
      <w:proofErr w:type="spellStart"/>
      <w:r w:rsidRPr="006179A3">
        <w:rPr>
          <w:rFonts w:cs="AdvOT999035f4"/>
          <w:sz w:val="20"/>
          <w:szCs w:val="20"/>
        </w:rPr>
        <w:t>MePy</w:t>
      </w:r>
      <w:proofErr w:type="spellEnd"/>
      <w:r w:rsidRPr="006179A3">
        <w:rPr>
          <w:rFonts w:cs="AdvOT999035f4"/>
          <w:sz w:val="20"/>
          <w:szCs w:val="20"/>
        </w:rPr>
        <w:t>)</w:t>
      </w:r>
      <w:r w:rsidRPr="006179A3">
        <w:rPr>
          <w:rFonts w:cs="AdvOT999035f4"/>
          <w:sz w:val="20"/>
          <w:szCs w:val="20"/>
          <w:vertAlign w:val="subscript"/>
        </w:rPr>
        <w:t>3</w:t>
      </w:r>
      <w:r w:rsidRPr="006179A3">
        <w:rPr>
          <w:rFonts w:cs="AdvOT999035f4"/>
          <w:sz w:val="20"/>
          <w:szCs w:val="20"/>
        </w:rPr>
        <w:t>Sn</w:t>
      </w:r>
      <w:r w:rsidRPr="006179A3">
        <w:rPr>
          <w:rFonts w:cs="AdvOT999035f4+20"/>
          <w:sz w:val="20"/>
          <w:szCs w:val="20"/>
        </w:rPr>
        <w:t>–</w:t>
      </w:r>
      <w:r w:rsidRPr="006179A3">
        <w:rPr>
          <w:rFonts w:cs="AdvOT999035f4"/>
          <w:sz w:val="20"/>
          <w:szCs w:val="20"/>
        </w:rPr>
        <w:t>Sn(</w:t>
      </w:r>
      <w:proofErr w:type="spellStart"/>
      <w:r w:rsidRPr="006179A3">
        <w:rPr>
          <w:rFonts w:cs="AdvOT999035f4"/>
          <w:sz w:val="20"/>
          <w:szCs w:val="20"/>
        </w:rPr>
        <w:t>MePy</w:t>
      </w:r>
      <w:proofErr w:type="spellEnd"/>
      <w:r w:rsidRPr="006179A3">
        <w:rPr>
          <w:rFonts w:cs="AdvOT999035f4"/>
          <w:sz w:val="20"/>
          <w:szCs w:val="20"/>
        </w:rPr>
        <w:t>)</w:t>
      </w:r>
      <w:r w:rsidRPr="006179A3">
        <w:rPr>
          <w:rFonts w:cs="AdvOT999035f4"/>
          <w:sz w:val="20"/>
          <w:szCs w:val="20"/>
          <w:vertAlign w:val="subscript"/>
        </w:rPr>
        <w:t>3</w:t>
      </w:r>
      <w:r w:rsidRPr="006179A3">
        <w:rPr>
          <w:rFonts w:cs="AdvOT999035f4"/>
          <w:sz w:val="20"/>
          <w:szCs w:val="20"/>
        </w:rPr>
        <w:t xml:space="preserve">, </w:t>
      </w:r>
      <w:r w:rsidRPr="006179A3">
        <w:rPr>
          <w:sz w:val="20"/>
          <w:szCs w:val="20"/>
          <w:lang w:val="en-US"/>
        </w:rPr>
        <w:t xml:space="preserve">a Janus-Head pyridyl ligand system </w:t>
      </w:r>
      <w:r w:rsidRPr="006179A3">
        <w:rPr>
          <w:color w:val="000000"/>
          <w:sz w:val="20"/>
          <w:szCs w:val="20"/>
          <w:lang w:val="en-US"/>
        </w:rPr>
        <w:t>featuring a Sn-Sn bond,</w:t>
      </w:r>
      <w:r w:rsidR="00C01D11" w:rsidRPr="00C01D11">
        <w:rPr>
          <w:rFonts w:cs="AdvOT999035f4"/>
          <w:sz w:val="20"/>
          <w:szCs w:val="20"/>
        </w:rPr>
        <w:t xml:space="preserve"> </w:t>
      </w:r>
      <w:r w:rsidRPr="006179A3">
        <w:rPr>
          <w:rFonts w:cs="AdvOT999035f4"/>
          <w:sz w:val="20"/>
          <w:szCs w:val="20"/>
        </w:rPr>
        <w:t>by reaction with SnCl</w:t>
      </w:r>
      <w:r w:rsidRPr="006179A3">
        <w:rPr>
          <w:rFonts w:cs="AdvOT999035f4"/>
          <w:sz w:val="20"/>
          <w:szCs w:val="20"/>
          <w:vertAlign w:val="subscript"/>
        </w:rPr>
        <w:t>2</w:t>
      </w:r>
      <w:r w:rsidR="001E5F65" w:rsidRPr="006179A3">
        <w:rPr>
          <w:rFonts w:cs="AdvOT999035f4"/>
          <w:sz w:val="20"/>
          <w:szCs w:val="20"/>
        </w:rPr>
        <w:t xml:space="preserve"> </w:t>
      </w:r>
      <w:r w:rsidRPr="006179A3">
        <w:rPr>
          <w:rFonts w:cs="AdvOT999035f4"/>
          <w:sz w:val="20"/>
          <w:szCs w:val="20"/>
        </w:rPr>
        <w:t>in a one-pot reaction. The synthesis avoids</w:t>
      </w:r>
      <w:r w:rsidR="00C01D11" w:rsidRPr="00C01D11">
        <w:rPr>
          <w:rFonts w:cs="AdvOT999035f4"/>
          <w:sz w:val="20"/>
          <w:szCs w:val="20"/>
        </w:rPr>
        <w:t xml:space="preserve"> the use of highly unstable or poorly defined </w:t>
      </w:r>
      <w:proofErr w:type="spellStart"/>
      <w:r w:rsidR="00C01D11" w:rsidRPr="00C01D11">
        <w:rPr>
          <w:rFonts w:cs="AdvOT999035f4"/>
          <w:sz w:val="20"/>
          <w:szCs w:val="20"/>
        </w:rPr>
        <w:t>Sn</w:t>
      </w:r>
      <w:r w:rsidR="00C01D11" w:rsidRPr="002450B9">
        <w:rPr>
          <w:rFonts w:cs="AdvOT999035f4"/>
          <w:sz w:val="20"/>
          <w:szCs w:val="20"/>
          <w:vertAlign w:val="superscript"/>
        </w:rPr>
        <w:t>IV</w:t>
      </w:r>
      <w:proofErr w:type="spellEnd"/>
      <w:r w:rsidR="00C01D11" w:rsidRPr="00C01D11">
        <w:rPr>
          <w:rFonts w:cs="AdvOT999035f4"/>
          <w:sz w:val="20"/>
          <w:szCs w:val="20"/>
        </w:rPr>
        <w:t xml:space="preserve"> hexa-halides</w:t>
      </w:r>
      <w:r w:rsidRPr="006179A3">
        <w:rPr>
          <w:rFonts w:cs="AdvOT999035f4"/>
          <w:sz w:val="20"/>
          <w:szCs w:val="20"/>
        </w:rPr>
        <w:t xml:space="preserve"> and it is the f</w:t>
      </w:r>
      <w:r w:rsidR="00C01D11" w:rsidRPr="006179A3">
        <w:rPr>
          <w:rFonts w:cs="AdvOT999035f4"/>
          <w:sz w:val="20"/>
          <w:szCs w:val="20"/>
        </w:rPr>
        <w:t xml:space="preserve">irst </w:t>
      </w:r>
      <w:r w:rsidR="00C01D11" w:rsidRPr="006179A3">
        <w:rPr>
          <w:rFonts w:cs="AdvOT999035f4"/>
          <w:sz w:val="20"/>
          <w:szCs w:val="20"/>
        </w:rPr>
        <w:lastRenderedPageBreak/>
        <w:t xml:space="preserve">demonstration of the ability of </w:t>
      </w:r>
      <w:proofErr w:type="spellStart"/>
      <w:proofErr w:type="gramStart"/>
      <w:r w:rsidR="00C01D11" w:rsidRPr="006179A3">
        <w:rPr>
          <w:rFonts w:cs="AdvOT999035f4"/>
          <w:sz w:val="20"/>
          <w:szCs w:val="20"/>
        </w:rPr>
        <w:t>tris</w:t>
      </w:r>
      <w:proofErr w:type="spellEnd"/>
      <w:r w:rsidR="00C01D11" w:rsidRPr="006179A3">
        <w:rPr>
          <w:rFonts w:cs="AdvOT999035f4"/>
          <w:sz w:val="20"/>
          <w:szCs w:val="20"/>
        </w:rPr>
        <w:t>(</w:t>
      </w:r>
      <w:proofErr w:type="gramEnd"/>
      <w:r w:rsidR="00C01D11" w:rsidRPr="006179A3">
        <w:rPr>
          <w:rFonts w:cs="AdvOT999035f4"/>
          <w:sz w:val="20"/>
          <w:szCs w:val="20"/>
        </w:rPr>
        <w:t>2-pyridyl) aluminate anions  to act as 2-pyridyl transfer reagents in combination with oxidation of metal centres</w:t>
      </w:r>
      <w:r w:rsidRPr="006179A3">
        <w:rPr>
          <w:rFonts w:cs="AdvOT999035f4"/>
          <w:sz w:val="20"/>
          <w:szCs w:val="20"/>
        </w:rPr>
        <w:t>.</w:t>
      </w:r>
    </w:p>
    <w:p w:rsidR="007C1B36" w:rsidRPr="006179A3" w:rsidRDefault="007C1B36" w:rsidP="006179A3">
      <w:pPr>
        <w:shd w:val="clear" w:color="auto" w:fill="FFFFFF"/>
        <w:spacing w:after="0" w:line="240" w:lineRule="auto"/>
        <w:jc w:val="both"/>
        <w:rPr>
          <w:rFonts w:eastAsia="Times New Roman" w:cs="Arial"/>
          <w:sz w:val="20"/>
          <w:szCs w:val="20"/>
        </w:rPr>
      </w:pPr>
    </w:p>
    <w:p w:rsidR="00707BF1" w:rsidRPr="006179A3" w:rsidRDefault="00092FB7" w:rsidP="006179A3">
      <w:pPr>
        <w:shd w:val="clear" w:color="auto" w:fill="FFFFFF"/>
        <w:spacing w:after="0" w:line="240" w:lineRule="auto"/>
        <w:jc w:val="both"/>
        <w:rPr>
          <w:rFonts w:eastAsia="Times New Roman" w:cs="Arial"/>
          <w:b/>
          <w:sz w:val="20"/>
          <w:szCs w:val="20"/>
        </w:rPr>
      </w:pPr>
      <w:proofErr w:type="spellStart"/>
      <w:r w:rsidRPr="006179A3">
        <w:rPr>
          <w:rFonts w:eastAsia="Times New Roman" w:cs="Arial"/>
          <w:b/>
          <w:sz w:val="20"/>
          <w:szCs w:val="20"/>
        </w:rPr>
        <w:t>Tris</w:t>
      </w:r>
      <w:proofErr w:type="spellEnd"/>
      <w:r w:rsidRPr="006179A3">
        <w:rPr>
          <w:rFonts w:eastAsia="Times New Roman" w:cs="Arial"/>
          <w:b/>
          <w:sz w:val="20"/>
          <w:szCs w:val="20"/>
        </w:rPr>
        <w:t xml:space="preserve">-Pyridyl aluminates </w:t>
      </w:r>
      <w:r w:rsidR="00592CA8">
        <w:rPr>
          <w:rFonts w:eastAsia="Times New Roman" w:cs="Arial"/>
          <w:b/>
          <w:sz w:val="20"/>
          <w:szCs w:val="20"/>
        </w:rPr>
        <w:t>in c</w:t>
      </w:r>
      <w:r w:rsidR="00E24B5E" w:rsidRPr="006179A3">
        <w:rPr>
          <w:rFonts w:eastAsia="Times New Roman" w:cs="Arial"/>
          <w:b/>
          <w:sz w:val="20"/>
          <w:szCs w:val="20"/>
        </w:rPr>
        <w:t xml:space="preserve">atalysis: </w:t>
      </w:r>
      <w:r w:rsidR="00707BF1" w:rsidRPr="006179A3">
        <w:rPr>
          <w:rFonts w:eastAsia="Times New Roman" w:cs="Arial"/>
          <w:b/>
          <w:sz w:val="20"/>
          <w:szCs w:val="20"/>
        </w:rPr>
        <w:t>Preparation of chiral pyridyl ligands</w:t>
      </w:r>
      <w:r w:rsidR="00045EBF" w:rsidRPr="006179A3">
        <w:rPr>
          <w:rFonts w:eastAsia="Times New Roman" w:cs="Arial"/>
          <w:b/>
          <w:sz w:val="20"/>
          <w:szCs w:val="20"/>
        </w:rPr>
        <w:t xml:space="preserve"> and chiral complexes</w:t>
      </w:r>
    </w:p>
    <w:p w:rsidR="00045EBF" w:rsidRPr="006179A3" w:rsidRDefault="00045EBF" w:rsidP="006179A3">
      <w:pPr>
        <w:shd w:val="clear" w:color="auto" w:fill="FFFFFF"/>
        <w:spacing w:after="0" w:line="240" w:lineRule="auto"/>
        <w:jc w:val="both"/>
        <w:rPr>
          <w:sz w:val="20"/>
          <w:szCs w:val="20"/>
        </w:rPr>
      </w:pPr>
    </w:p>
    <w:p w:rsidR="00E24B5E" w:rsidRDefault="00E24B5E" w:rsidP="00B37BA5">
      <w:pPr>
        <w:shd w:val="clear" w:color="auto" w:fill="FFFFFF"/>
        <w:spacing w:after="0" w:line="240" w:lineRule="auto"/>
        <w:ind w:firstLine="720"/>
        <w:jc w:val="both"/>
        <w:rPr>
          <w:sz w:val="20"/>
          <w:szCs w:val="20"/>
        </w:rPr>
      </w:pPr>
      <w:r w:rsidRPr="006179A3">
        <w:rPr>
          <w:sz w:val="20"/>
          <w:szCs w:val="20"/>
        </w:rPr>
        <w:t>The most recent studies have now indicated the surprising conclusion that epoxidation reaction of alkenes may involve 2-py ligand displacement, in a short induction period, to form the active catalyst which contains a</w:t>
      </w:r>
      <w:r w:rsidR="00592CA8">
        <w:rPr>
          <w:sz w:val="20"/>
          <w:szCs w:val="20"/>
        </w:rPr>
        <w:t>n</w:t>
      </w:r>
      <w:r w:rsidRPr="006179A3">
        <w:rPr>
          <w:sz w:val="20"/>
          <w:szCs w:val="20"/>
        </w:rPr>
        <w:t xml:space="preserve"> Al-(</w:t>
      </w:r>
      <w:r w:rsidRPr="006179A3">
        <w:rPr>
          <w:rFonts w:ascii="Symbol" w:hAnsi="Symbol"/>
          <w:sz w:val="20"/>
          <w:szCs w:val="20"/>
        </w:rPr>
        <w:t></w:t>
      </w:r>
      <w:r w:rsidRPr="006179A3">
        <w:rPr>
          <w:sz w:val="20"/>
          <w:szCs w:val="20"/>
        </w:rPr>
        <w:t>-O)-</w:t>
      </w:r>
      <w:proofErr w:type="spellStart"/>
      <w:r w:rsidRPr="006179A3">
        <w:rPr>
          <w:sz w:val="20"/>
          <w:szCs w:val="20"/>
        </w:rPr>
        <w:t>Fe</w:t>
      </w:r>
      <w:r w:rsidRPr="006179A3">
        <w:rPr>
          <w:sz w:val="20"/>
          <w:szCs w:val="20"/>
          <w:vertAlign w:val="superscript"/>
        </w:rPr>
        <w:t>III</w:t>
      </w:r>
      <w:proofErr w:type="spellEnd"/>
      <w:r w:rsidRPr="006179A3">
        <w:rPr>
          <w:sz w:val="20"/>
          <w:szCs w:val="20"/>
        </w:rPr>
        <w:t xml:space="preserve"> fragment. Thus the catalytic reaction with O</w:t>
      </w:r>
      <w:r w:rsidRPr="006179A3">
        <w:rPr>
          <w:sz w:val="20"/>
          <w:szCs w:val="20"/>
          <w:vertAlign w:val="subscript"/>
        </w:rPr>
        <w:t>2</w:t>
      </w:r>
      <w:r w:rsidRPr="006179A3">
        <w:rPr>
          <w:sz w:val="20"/>
          <w:szCs w:val="20"/>
        </w:rPr>
        <w:t xml:space="preserve"> can be seen as resulting from a synergy of the two metal components, the combined </w:t>
      </w:r>
      <w:proofErr w:type="spellStart"/>
      <w:r w:rsidRPr="006179A3">
        <w:rPr>
          <w:sz w:val="20"/>
          <w:szCs w:val="20"/>
        </w:rPr>
        <w:t>oxophilicity</w:t>
      </w:r>
      <w:proofErr w:type="spellEnd"/>
      <w:r w:rsidRPr="006179A3">
        <w:rPr>
          <w:sz w:val="20"/>
          <w:szCs w:val="20"/>
        </w:rPr>
        <w:t xml:space="preserve"> on one hand and the flexibility of oxidation state on the other.</w:t>
      </w:r>
      <w:r w:rsidR="001E5F65" w:rsidRPr="006179A3">
        <w:rPr>
          <w:sz w:val="20"/>
          <w:szCs w:val="20"/>
        </w:rPr>
        <w:t xml:space="preserve"> </w:t>
      </w:r>
      <w:r w:rsidRPr="006179A3">
        <w:rPr>
          <w:sz w:val="20"/>
          <w:szCs w:val="20"/>
        </w:rPr>
        <w:t>We have found that the controlled O</w:t>
      </w:r>
      <w:r w:rsidRPr="006179A3">
        <w:rPr>
          <w:sz w:val="20"/>
          <w:szCs w:val="20"/>
          <w:vertAlign w:val="subscript"/>
        </w:rPr>
        <w:t>2</w:t>
      </w:r>
      <w:r w:rsidRPr="006179A3">
        <w:rPr>
          <w:sz w:val="20"/>
          <w:szCs w:val="20"/>
        </w:rPr>
        <w:t>-oxidation of the Sm(II) sandwich compound [{</w:t>
      </w:r>
      <w:proofErr w:type="spellStart"/>
      <w:r w:rsidRPr="006179A3">
        <w:rPr>
          <w:sz w:val="20"/>
          <w:szCs w:val="20"/>
        </w:rPr>
        <w:t>EtAl</w:t>
      </w:r>
      <w:proofErr w:type="spellEnd"/>
      <w:r w:rsidRPr="006179A3">
        <w:rPr>
          <w:sz w:val="20"/>
          <w:szCs w:val="20"/>
        </w:rPr>
        <w:t>(2-py)</w:t>
      </w:r>
      <w:r w:rsidRPr="006179A3">
        <w:rPr>
          <w:sz w:val="20"/>
          <w:szCs w:val="20"/>
          <w:vertAlign w:val="subscript"/>
        </w:rPr>
        <w:t>3</w:t>
      </w:r>
      <w:r w:rsidRPr="006179A3">
        <w:rPr>
          <w:sz w:val="20"/>
          <w:szCs w:val="20"/>
        </w:rPr>
        <w:t>}</w:t>
      </w:r>
      <w:r w:rsidRPr="006179A3">
        <w:rPr>
          <w:sz w:val="20"/>
          <w:szCs w:val="20"/>
          <w:vertAlign w:val="subscript"/>
        </w:rPr>
        <w:t>2</w:t>
      </w:r>
      <w:r w:rsidRPr="006179A3">
        <w:rPr>
          <w:sz w:val="20"/>
          <w:szCs w:val="20"/>
        </w:rPr>
        <w:t>Sm] give</w:t>
      </w:r>
      <w:r w:rsidR="001E5F65" w:rsidRPr="006179A3">
        <w:rPr>
          <w:sz w:val="20"/>
          <w:szCs w:val="20"/>
        </w:rPr>
        <w:t xml:space="preserve">s the Sm(III)/Al(III) compound </w:t>
      </w:r>
      <w:r w:rsidRPr="006179A3">
        <w:rPr>
          <w:sz w:val="20"/>
          <w:szCs w:val="20"/>
        </w:rPr>
        <w:t>[{</w:t>
      </w:r>
      <w:proofErr w:type="spellStart"/>
      <w:r w:rsidRPr="006179A3">
        <w:rPr>
          <w:sz w:val="20"/>
          <w:szCs w:val="20"/>
        </w:rPr>
        <w:t>EtAl</w:t>
      </w:r>
      <w:proofErr w:type="spellEnd"/>
      <w:r w:rsidRPr="006179A3">
        <w:rPr>
          <w:sz w:val="20"/>
          <w:szCs w:val="20"/>
        </w:rPr>
        <w:t>(2-py)</w:t>
      </w:r>
      <w:r w:rsidRPr="006179A3">
        <w:rPr>
          <w:sz w:val="20"/>
          <w:szCs w:val="20"/>
          <w:vertAlign w:val="subscript"/>
        </w:rPr>
        <w:t>3</w:t>
      </w:r>
      <w:r w:rsidRPr="006179A3">
        <w:rPr>
          <w:sz w:val="20"/>
          <w:szCs w:val="20"/>
        </w:rPr>
        <w:t>}{</w:t>
      </w:r>
      <w:proofErr w:type="spellStart"/>
      <w:r w:rsidRPr="006179A3">
        <w:rPr>
          <w:sz w:val="20"/>
          <w:szCs w:val="20"/>
        </w:rPr>
        <w:t>EtAl</w:t>
      </w:r>
      <w:proofErr w:type="spellEnd"/>
      <w:r w:rsidRPr="006179A3">
        <w:rPr>
          <w:sz w:val="20"/>
          <w:szCs w:val="20"/>
        </w:rPr>
        <w:t>(2-py)</w:t>
      </w:r>
      <w:r w:rsidRPr="006179A3">
        <w:rPr>
          <w:sz w:val="20"/>
          <w:szCs w:val="20"/>
          <w:vertAlign w:val="subscript"/>
        </w:rPr>
        <w:t>2</w:t>
      </w:r>
      <w:r w:rsidRPr="006179A3">
        <w:rPr>
          <w:sz w:val="20"/>
          <w:szCs w:val="20"/>
        </w:rPr>
        <w:t>O}Sm]</w:t>
      </w:r>
      <w:r w:rsidRPr="006179A3">
        <w:rPr>
          <w:sz w:val="20"/>
          <w:szCs w:val="20"/>
          <w:vertAlign w:val="subscript"/>
        </w:rPr>
        <w:t>2</w:t>
      </w:r>
      <w:r w:rsidRPr="006179A3">
        <w:rPr>
          <w:sz w:val="20"/>
          <w:szCs w:val="20"/>
        </w:rPr>
        <w:t xml:space="preserve">, containing the novel multifunctional </w:t>
      </w:r>
      <w:proofErr w:type="spellStart"/>
      <w:r w:rsidRPr="006179A3">
        <w:rPr>
          <w:sz w:val="20"/>
          <w:szCs w:val="20"/>
        </w:rPr>
        <w:t>dianionic</w:t>
      </w:r>
      <w:proofErr w:type="spellEnd"/>
      <w:r w:rsidRPr="006179A3">
        <w:rPr>
          <w:sz w:val="20"/>
          <w:szCs w:val="20"/>
        </w:rPr>
        <w:t xml:space="preserve"> ligand [</w:t>
      </w:r>
      <w:proofErr w:type="spellStart"/>
      <w:r w:rsidRPr="006179A3">
        <w:rPr>
          <w:sz w:val="20"/>
          <w:szCs w:val="20"/>
        </w:rPr>
        <w:t>EtAl</w:t>
      </w:r>
      <w:proofErr w:type="spellEnd"/>
      <w:r w:rsidRPr="006179A3">
        <w:rPr>
          <w:sz w:val="20"/>
          <w:szCs w:val="20"/>
        </w:rPr>
        <w:t>(2-py)</w:t>
      </w:r>
      <w:r w:rsidRPr="006179A3">
        <w:rPr>
          <w:sz w:val="20"/>
          <w:szCs w:val="20"/>
          <w:vertAlign w:val="subscript"/>
        </w:rPr>
        <w:t>2</w:t>
      </w:r>
      <w:r w:rsidRPr="006179A3">
        <w:rPr>
          <w:sz w:val="20"/>
          <w:szCs w:val="20"/>
        </w:rPr>
        <w:t>O]</w:t>
      </w:r>
      <w:r w:rsidRPr="006179A3">
        <w:rPr>
          <w:sz w:val="20"/>
          <w:szCs w:val="20"/>
          <w:vertAlign w:val="superscript"/>
        </w:rPr>
        <w:t>2-</w:t>
      </w:r>
      <w:r w:rsidR="00B37BA5">
        <w:rPr>
          <w:sz w:val="20"/>
          <w:szCs w:val="20"/>
        </w:rPr>
        <w:t>(</w:t>
      </w:r>
      <w:r w:rsidR="00B37BA5" w:rsidRPr="00B37BA5">
        <w:rPr>
          <w:b/>
          <w:sz w:val="20"/>
          <w:szCs w:val="20"/>
        </w:rPr>
        <w:t>1</w:t>
      </w:r>
      <w:r w:rsidR="00B37BA5">
        <w:rPr>
          <w:sz w:val="20"/>
          <w:szCs w:val="20"/>
        </w:rPr>
        <w:t>, Figure 2).</w:t>
      </w:r>
      <w:r w:rsidRPr="006179A3">
        <w:rPr>
          <w:sz w:val="20"/>
          <w:szCs w:val="20"/>
        </w:rPr>
        <w:t xml:space="preserve"> The formation of this O-bridged Al-O-Sm arrangement is potentially relevant to the catalytic epoxidation of styrene with dry air using </w:t>
      </w:r>
      <w:proofErr w:type="spellStart"/>
      <w:r w:rsidRPr="006179A3">
        <w:rPr>
          <w:sz w:val="20"/>
          <w:szCs w:val="20"/>
        </w:rPr>
        <w:t>heterobimetallic</w:t>
      </w:r>
      <w:proofErr w:type="spellEnd"/>
      <w:r w:rsidRPr="006179A3">
        <w:rPr>
          <w:sz w:val="20"/>
          <w:szCs w:val="20"/>
        </w:rPr>
        <w:t xml:space="preserve"> sandwich compounds. In this context the new complex [{</w:t>
      </w:r>
      <w:proofErr w:type="spellStart"/>
      <w:r w:rsidRPr="006179A3">
        <w:rPr>
          <w:sz w:val="20"/>
          <w:szCs w:val="20"/>
        </w:rPr>
        <w:t>EtAl</w:t>
      </w:r>
      <w:proofErr w:type="spellEnd"/>
      <w:r w:rsidRPr="006179A3">
        <w:rPr>
          <w:sz w:val="20"/>
          <w:szCs w:val="20"/>
        </w:rPr>
        <w:t>(2-py)</w:t>
      </w:r>
      <w:r w:rsidRPr="006179A3">
        <w:rPr>
          <w:sz w:val="20"/>
          <w:szCs w:val="20"/>
          <w:vertAlign w:val="subscript"/>
        </w:rPr>
        <w:t>3</w:t>
      </w:r>
      <w:r w:rsidRPr="006179A3">
        <w:rPr>
          <w:sz w:val="20"/>
          <w:szCs w:val="20"/>
        </w:rPr>
        <w:t>}{</w:t>
      </w:r>
      <w:proofErr w:type="spellStart"/>
      <w:r w:rsidRPr="006179A3">
        <w:rPr>
          <w:sz w:val="20"/>
          <w:szCs w:val="20"/>
        </w:rPr>
        <w:t>EtAl</w:t>
      </w:r>
      <w:proofErr w:type="spellEnd"/>
      <w:r w:rsidRPr="006179A3">
        <w:rPr>
          <w:sz w:val="20"/>
          <w:szCs w:val="20"/>
        </w:rPr>
        <w:t>(2-py)</w:t>
      </w:r>
      <w:r w:rsidRPr="006179A3">
        <w:rPr>
          <w:sz w:val="20"/>
          <w:szCs w:val="20"/>
          <w:vertAlign w:val="subscript"/>
        </w:rPr>
        <w:t>2</w:t>
      </w:r>
      <w:r w:rsidRPr="006179A3">
        <w:rPr>
          <w:sz w:val="20"/>
          <w:szCs w:val="20"/>
        </w:rPr>
        <w:t>O}Sm]</w:t>
      </w:r>
      <w:r w:rsidRPr="006179A3">
        <w:rPr>
          <w:sz w:val="20"/>
          <w:szCs w:val="20"/>
          <w:vertAlign w:val="subscript"/>
        </w:rPr>
        <w:t>2</w:t>
      </w:r>
      <w:r w:rsidRPr="006179A3">
        <w:rPr>
          <w:sz w:val="20"/>
          <w:szCs w:val="20"/>
        </w:rPr>
        <w:t xml:space="preserve"> can be regarded as a potential model intermediate in this type of reaction by which molecular O</w:t>
      </w:r>
      <w:r w:rsidRPr="006179A3">
        <w:rPr>
          <w:sz w:val="20"/>
          <w:szCs w:val="20"/>
          <w:vertAlign w:val="subscript"/>
        </w:rPr>
        <w:t>2</w:t>
      </w:r>
      <w:r w:rsidRPr="006179A3">
        <w:rPr>
          <w:sz w:val="20"/>
          <w:szCs w:val="20"/>
        </w:rPr>
        <w:t xml:space="preserve"> is transferred into active O atoms prior to reaction with the alkene</w:t>
      </w:r>
      <w:r w:rsidR="00C237B8" w:rsidRPr="006179A3">
        <w:rPr>
          <w:sz w:val="20"/>
          <w:szCs w:val="20"/>
        </w:rPr>
        <w:t>.</w:t>
      </w:r>
    </w:p>
    <w:p w:rsidR="006179A3" w:rsidRPr="006179A3" w:rsidRDefault="006179A3" w:rsidP="006179A3">
      <w:pPr>
        <w:shd w:val="clear" w:color="auto" w:fill="FFFFFF"/>
        <w:spacing w:after="0" w:line="240" w:lineRule="auto"/>
        <w:jc w:val="both"/>
        <w:rPr>
          <w:sz w:val="20"/>
          <w:szCs w:val="20"/>
        </w:rPr>
      </w:pPr>
    </w:p>
    <w:p w:rsidR="00E24B5E" w:rsidRPr="006179A3" w:rsidRDefault="00B13260" w:rsidP="006179A3">
      <w:pPr>
        <w:shd w:val="clear" w:color="auto" w:fill="FFFFFF"/>
        <w:spacing w:after="0" w:line="240" w:lineRule="auto"/>
        <w:jc w:val="center"/>
        <w:rPr>
          <w:sz w:val="20"/>
          <w:szCs w:val="20"/>
        </w:rPr>
      </w:pPr>
      <w:r w:rsidRPr="006179A3">
        <w:rPr>
          <w:sz w:val="20"/>
          <w:szCs w:val="20"/>
        </w:rPr>
        <w:object w:dxaOrig="7732" w:dyaOrig="2601">
          <v:shape id="_x0000_i1026" type="#_x0000_t75" style="width:297.8pt;height:100.05pt" o:ole="">
            <v:imagedata r:id="rId10" o:title=""/>
          </v:shape>
          <o:OLEObject Type="Embed" ProgID="ChemDraw.Document.6.0" ShapeID="_x0000_i1026" DrawAspect="Content" ObjectID="_1519545308" r:id="rId11"/>
        </w:object>
      </w:r>
    </w:p>
    <w:p w:rsidR="00B13260" w:rsidRPr="006179A3" w:rsidRDefault="00B13260" w:rsidP="006179A3">
      <w:pPr>
        <w:autoSpaceDE w:val="0"/>
        <w:autoSpaceDN w:val="0"/>
        <w:adjustRightInd w:val="0"/>
        <w:spacing w:after="0" w:line="240" w:lineRule="auto"/>
        <w:jc w:val="both"/>
        <w:rPr>
          <w:sz w:val="20"/>
          <w:szCs w:val="20"/>
        </w:rPr>
      </w:pPr>
      <w:proofErr w:type="gramStart"/>
      <w:r w:rsidRPr="006179A3">
        <w:rPr>
          <w:b/>
          <w:sz w:val="20"/>
          <w:szCs w:val="20"/>
        </w:rPr>
        <w:t>Fig 2</w:t>
      </w:r>
      <w:r w:rsidRPr="006179A3">
        <w:rPr>
          <w:sz w:val="20"/>
          <w:szCs w:val="20"/>
        </w:rPr>
        <w:t>.</w:t>
      </w:r>
      <w:proofErr w:type="gramEnd"/>
      <w:r w:rsidRPr="006179A3">
        <w:rPr>
          <w:sz w:val="20"/>
          <w:szCs w:val="20"/>
        </w:rPr>
        <w:t xml:space="preserve"> </w:t>
      </w:r>
      <w:proofErr w:type="spellStart"/>
      <w:r w:rsidRPr="006179A3">
        <w:rPr>
          <w:sz w:val="20"/>
          <w:szCs w:val="20"/>
        </w:rPr>
        <w:t>Heterobimetallic</w:t>
      </w:r>
      <w:proofErr w:type="spellEnd"/>
      <w:r w:rsidRPr="006179A3">
        <w:rPr>
          <w:sz w:val="20"/>
          <w:szCs w:val="20"/>
        </w:rPr>
        <w:t xml:space="preserve"> Sm(III)/Al(III) compound [{</w:t>
      </w:r>
      <w:proofErr w:type="spellStart"/>
      <w:r w:rsidRPr="006179A3">
        <w:rPr>
          <w:sz w:val="20"/>
          <w:szCs w:val="20"/>
        </w:rPr>
        <w:t>EtAl</w:t>
      </w:r>
      <w:proofErr w:type="spellEnd"/>
      <w:r w:rsidRPr="006179A3">
        <w:rPr>
          <w:sz w:val="20"/>
          <w:szCs w:val="20"/>
        </w:rPr>
        <w:t>(2-py)</w:t>
      </w:r>
      <w:r w:rsidRPr="001C5206">
        <w:rPr>
          <w:sz w:val="20"/>
          <w:szCs w:val="20"/>
          <w:vertAlign w:val="subscript"/>
        </w:rPr>
        <w:t>3</w:t>
      </w:r>
      <w:r w:rsidRPr="006179A3">
        <w:rPr>
          <w:sz w:val="20"/>
          <w:szCs w:val="20"/>
        </w:rPr>
        <w:t>}{</w:t>
      </w:r>
      <w:proofErr w:type="spellStart"/>
      <w:r w:rsidRPr="006179A3">
        <w:rPr>
          <w:sz w:val="20"/>
          <w:szCs w:val="20"/>
        </w:rPr>
        <w:t>EtAl</w:t>
      </w:r>
      <w:proofErr w:type="spellEnd"/>
      <w:r w:rsidRPr="006179A3">
        <w:rPr>
          <w:sz w:val="20"/>
          <w:szCs w:val="20"/>
        </w:rPr>
        <w:t>(2-py)</w:t>
      </w:r>
      <w:r w:rsidRPr="001C5206">
        <w:rPr>
          <w:sz w:val="20"/>
          <w:szCs w:val="20"/>
          <w:vertAlign w:val="subscript"/>
        </w:rPr>
        <w:t>2</w:t>
      </w:r>
      <w:r w:rsidRPr="006179A3">
        <w:rPr>
          <w:sz w:val="20"/>
          <w:szCs w:val="20"/>
        </w:rPr>
        <w:t>O}Sm]</w:t>
      </w:r>
      <w:r w:rsidRPr="001C5206">
        <w:rPr>
          <w:sz w:val="20"/>
          <w:szCs w:val="20"/>
          <w:vertAlign w:val="subscript"/>
        </w:rPr>
        <w:t>2</w:t>
      </w:r>
      <w:r w:rsidRPr="006179A3">
        <w:rPr>
          <w:sz w:val="20"/>
          <w:szCs w:val="20"/>
        </w:rPr>
        <w:t xml:space="preserve"> (</w:t>
      </w:r>
      <w:r w:rsidRPr="006179A3">
        <w:rPr>
          <w:b/>
          <w:sz w:val="20"/>
          <w:szCs w:val="20"/>
        </w:rPr>
        <w:t>1</w:t>
      </w:r>
      <w:r w:rsidRPr="006179A3">
        <w:rPr>
          <w:sz w:val="20"/>
          <w:szCs w:val="20"/>
        </w:rPr>
        <w:t>) and chiral pyridyl aluminates  (</w:t>
      </w:r>
      <w:r w:rsidRPr="006179A3">
        <w:rPr>
          <w:b/>
          <w:sz w:val="20"/>
          <w:szCs w:val="20"/>
        </w:rPr>
        <w:t>2</w:t>
      </w:r>
      <w:r w:rsidRPr="006179A3">
        <w:rPr>
          <w:sz w:val="20"/>
          <w:szCs w:val="20"/>
        </w:rPr>
        <w:t xml:space="preserve"> and </w:t>
      </w:r>
      <w:r w:rsidRPr="006179A3">
        <w:rPr>
          <w:b/>
          <w:sz w:val="20"/>
          <w:szCs w:val="20"/>
        </w:rPr>
        <w:t>3</w:t>
      </w:r>
      <w:r w:rsidRPr="006179A3">
        <w:rPr>
          <w:sz w:val="20"/>
          <w:szCs w:val="20"/>
        </w:rPr>
        <w:t>).</w:t>
      </w:r>
    </w:p>
    <w:p w:rsidR="00B13260" w:rsidRPr="006179A3" w:rsidRDefault="00B13260" w:rsidP="006179A3">
      <w:pPr>
        <w:shd w:val="clear" w:color="auto" w:fill="FFFFFF"/>
        <w:spacing w:after="0" w:line="240" w:lineRule="auto"/>
        <w:jc w:val="both"/>
        <w:rPr>
          <w:sz w:val="20"/>
          <w:szCs w:val="20"/>
        </w:rPr>
      </w:pPr>
    </w:p>
    <w:p w:rsidR="002201FA" w:rsidRPr="006179A3" w:rsidRDefault="00E24B5E" w:rsidP="00B37BA5">
      <w:pPr>
        <w:autoSpaceDE w:val="0"/>
        <w:autoSpaceDN w:val="0"/>
        <w:adjustRightInd w:val="0"/>
        <w:spacing w:after="0" w:line="240" w:lineRule="auto"/>
        <w:ind w:firstLine="720"/>
        <w:jc w:val="both"/>
        <w:rPr>
          <w:rFonts w:ascii="TimesNewRoman" w:hAnsi="TimesNewRoman" w:cs="TimesNewRoman"/>
          <w:sz w:val="20"/>
          <w:szCs w:val="20"/>
          <w:highlight w:val="yellow"/>
        </w:rPr>
      </w:pPr>
      <w:r w:rsidRPr="00E53C0D">
        <w:rPr>
          <w:rFonts w:cs="TimesNewRoman"/>
          <w:sz w:val="20"/>
          <w:szCs w:val="20"/>
        </w:rPr>
        <w:t>The development of asymmetric oxidation catalysts requires incorporating chirality</w:t>
      </w:r>
      <w:r w:rsidR="00C237B8" w:rsidRPr="00E53C0D">
        <w:rPr>
          <w:rFonts w:cs="TimesNewRoman"/>
          <w:sz w:val="20"/>
          <w:szCs w:val="20"/>
        </w:rPr>
        <w:t xml:space="preserve"> at the </w:t>
      </w:r>
      <w:proofErr w:type="spellStart"/>
      <w:r w:rsidRPr="00E53C0D">
        <w:rPr>
          <w:rFonts w:cs="Times New Roman"/>
          <w:i/>
          <w:iCs/>
          <w:sz w:val="20"/>
          <w:szCs w:val="20"/>
        </w:rPr>
        <w:t>tris</w:t>
      </w:r>
      <w:proofErr w:type="spellEnd"/>
      <w:r w:rsidR="00C237B8" w:rsidRPr="00E53C0D">
        <w:rPr>
          <w:rFonts w:cs="TimesNewRoman"/>
          <w:sz w:val="20"/>
          <w:szCs w:val="20"/>
        </w:rPr>
        <w:t xml:space="preserve">-pyridyl ligands. </w:t>
      </w:r>
      <w:r w:rsidR="00045EBF" w:rsidRPr="00E53C0D">
        <w:rPr>
          <w:sz w:val="20"/>
          <w:szCs w:val="20"/>
        </w:rPr>
        <w:t>Since chiral bridgehead or ring substituents are in close proximity to the Al/M active metal centres, both are likely</w:t>
      </w:r>
      <w:r w:rsidR="00045EBF" w:rsidRPr="006179A3">
        <w:rPr>
          <w:sz w:val="20"/>
          <w:szCs w:val="20"/>
        </w:rPr>
        <w:t xml:space="preserve"> to have an effect on chiral transmission to a pro-chiral alkene substrate such as terminal alkenes of the type RCH=CH</w:t>
      </w:r>
      <w:r w:rsidR="00045EBF" w:rsidRPr="006179A3">
        <w:rPr>
          <w:sz w:val="20"/>
          <w:szCs w:val="20"/>
          <w:vertAlign w:val="subscript"/>
        </w:rPr>
        <w:t>2</w:t>
      </w:r>
      <w:r w:rsidR="00045EBF" w:rsidRPr="006179A3">
        <w:rPr>
          <w:sz w:val="20"/>
          <w:szCs w:val="20"/>
        </w:rPr>
        <w:t xml:space="preserve">. We have explored two obvious ways to introduce chirality within the </w:t>
      </w:r>
      <w:proofErr w:type="spellStart"/>
      <w:r w:rsidR="00045EBF" w:rsidRPr="006179A3">
        <w:rPr>
          <w:rFonts w:eastAsia="Times New Roman" w:cs="Arial"/>
          <w:sz w:val="20"/>
          <w:szCs w:val="20"/>
        </w:rPr>
        <w:t>tris</w:t>
      </w:r>
      <w:proofErr w:type="spellEnd"/>
      <w:r w:rsidR="00045EBF" w:rsidRPr="006179A3">
        <w:rPr>
          <w:rFonts w:eastAsia="Times New Roman" w:cs="Arial"/>
          <w:sz w:val="20"/>
          <w:szCs w:val="20"/>
        </w:rPr>
        <w:t>-pyridyl ligands</w:t>
      </w:r>
      <w:r w:rsidR="001470FD" w:rsidRPr="006179A3">
        <w:rPr>
          <w:sz w:val="20"/>
          <w:szCs w:val="20"/>
        </w:rPr>
        <w:t>:</w:t>
      </w:r>
      <w:r w:rsidR="00707BF1" w:rsidRPr="006179A3">
        <w:rPr>
          <w:sz w:val="20"/>
          <w:szCs w:val="20"/>
        </w:rPr>
        <w:t xml:space="preserve"> substitution of the bridgehead position (R</w:t>
      </w:r>
      <w:r w:rsidR="00B37BA5">
        <w:rPr>
          <w:sz w:val="20"/>
          <w:szCs w:val="20"/>
        </w:rPr>
        <w:t>’</w:t>
      </w:r>
      <w:r w:rsidR="00707BF1" w:rsidRPr="006179A3">
        <w:rPr>
          <w:sz w:val="20"/>
          <w:szCs w:val="20"/>
        </w:rPr>
        <w:t>) with a chiral substituent or substitution of the 2-py´</w:t>
      </w:r>
      <w:r w:rsidR="00180A01">
        <w:rPr>
          <w:sz w:val="20"/>
          <w:szCs w:val="20"/>
        </w:rPr>
        <w:t xml:space="preserve"> </w:t>
      </w:r>
      <w:r w:rsidR="00707BF1" w:rsidRPr="006179A3">
        <w:rPr>
          <w:sz w:val="20"/>
          <w:szCs w:val="20"/>
        </w:rPr>
        <w:t>units</w:t>
      </w:r>
      <w:r w:rsidR="00045EBF" w:rsidRPr="006179A3">
        <w:rPr>
          <w:sz w:val="20"/>
          <w:szCs w:val="20"/>
        </w:rPr>
        <w:t xml:space="preserve"> with chiral</w:t>
      </w:r>
      <w:r w:rsidR="002201FA" w:rsidRPr="006179A3">
        <w:rPr>
          <w:sz w:val="20"/>
          <w:szCs w:val="20"/>
        </w:rPr>
        <w:t xml:space="preserve"> groups at the pyridyl ring </w:t>
      </w:r>
      <w:r w:rsidR="00045EBF" w:rsidRPr="006179A3">
        <w:rPr>
          <w:sz w:val="20"/>
          <w:szCs w:val="20"/>
        </w:rPr>
        <w:t>(R)</w:t>
      </w:r>
      <w:r w:rsidR="00707BF1" w:rsidRPr="006179A3">
        <w:rPr>
          <w:sz w:val="20"/>
          <w:szCs w:val="20"/>
        </w:rPr>
        <w:t>.</w:t>
      </w:r>
      <w:r w:rsidR="002201FA" w:rsidRPr="006179A3">
        <w:rPr>
          <w:sz w:val="20"/>
          <w:szCs w:val="20"/>
        </w:rPr>
        <w:t xml:space="preserve"> We have introduced chirality through the bridgehead atom of the </w:t>
      </w:r>
      <w:proofErr w:type="spellStart"/>
      <w:r w:rsidR="002201FA" w:rsidRPr="006179A3">
        <w:rPr>
          <w:sz w:val="20"/>
          <w:szCs w:val="20"/>
        </w:rPr>
        <w:t>trispyridyl</w:t>
      </w:r>
      <w:proofErr w:type="spellEnd"/>
      <w:r w:rsidR="002201FA" w:rsidRPr="006179A3">
        <w:rPr>
          <w:sz w:val="20"/>
          <w:szCs w:val="20"/>
        </w:rPr>
        <w:t xml:space="preserve"> ligand (</w:t>
      </w:r>
      <w:r w:rsidR="002201FA" w:rsidRPr="00180A01">
        <w:rPr>
          <w:i/>
          <w:sz w:val="20"/>
          <w:szCs w:val="20"/>
        </w:rPr>
        <w:t>i.e</w:t>
      </w:r>
      <w:r w:rsidR="00180A01">
        <w:rPr>
          <w:i/>
          <w:sz w:val="20"/>
          <w:szCs w:val="20"/>
        </w:rPr>
        <w:t>.</w:t>
      </w:r>
      <w:r w:rsidR="002201FA" w:rsidRPr="006179A3">
        <w:rPr>
          <w:sz w:val="20"/>
          <w:szCs w:val="20"/>
        </w:rPr>
        <w:t xml:space="preserve"> introduction of a sec-butyl group). Although the synthesis of the ligand is in low yield and a racemic mixture is obtained, </w:t>
      </w:r>
      <w:proofErr w:type="spellStart"/>
      <w:r w:rsidR="00E53C0D">
        <w:rPr>
          <w:sz w:val="20"/>
          <w:szCs w:val="20"/>
        </w:rPr>
        <w:t>heterometallic</w:t>
      </w:r>
      <w:proofErr w:type="spellEnd"/>
      <w:r w:rsidR="00E53C0D">
        <w:rPr>
          <w:sz w:val="20"/>
          <w:szCs w:val="20"/>
        </w:rPr>
        <w:t xml:space="preserve"> complexes (</w:t>
      </w:r>
      <w:r w:rsidR="00E53C0D" w:rsidRPr="00180A01">
        <w:rPr>
          <w:i/>
          <w:sz w:val="20"/>
          <w:szCs w:val="20"/>
        </w:rPr>
        <w:t>i.e</w:t>
      </w:r>
      <w:r w:rsidR="00180A01" w:rsidRPr="00180A01">
        <w:rPr>
          <w:i/>
          <w:sz w:val="20"/>
          <w:szCs w:val="20"/>
        </w:rPr>
        <w:t>.</w:t>
      </w:r>
      <w:r w:rsidR="00E53C0D">
        <w:rPr>
          <w:sz w:val="20"/>
          <w:szCs w:val="20"/>
        </w:rPr>
        <w:t xml:space="preserve"> </w:t>
      </w:r>
      <w:r w:rsidR="002201FA" w:rsidRPr="006179A3">
        <w:rPr>
          <w:sz w:val="20"/>
          <w:szCs w:val="20"/>
        </w:rPr>
        <w:t xml:space="preserve">Ca/Al and </w:t>
      </w:r>
      <w:proofErr w:type="spellStart"/>
      <w:r w:rsidR="002201FA" w:rsidRPr="006179A3">
        <w:rPr>
          <w:sz w:val="20"/>
          <w:szCs w:val="20"/>
        </w:rPr>
        <w:t>Mn</w:t>
      </w:r>
      <w:proofErr w:type="spellEnd"/>
      <w:r w:rsidR="002201FA" w:rsidRPr="006179A3">
        <w:rPr>
          <w:sz w:val="20"/>
          <w:szCs w:val="20"/>
        </w:rPr>
        <w:t>/Al) incorporating the ligand can be prepared.</w:t>
      </w:r>
      <w:r w:rsidR="00C237B8" w:rsidRPr="006179A3">
        <w:rPr>
          <w:sz w:val="20"/>
          <w:szCs w:val="20"/>
        </w:rPr>
        <w:t xml:space="preserve"> </w:t>
      </w:r>
    </w:p>
    <w:p w:rsidR="008313F6" w:rsidRPr="006179A3" w:rsidRDefault="002201FA" w:rsidP="00B37BA5">
      <w:pPr>
        <w:shd w:val="clear" w:color="auto" w:fill="FFFFFF"/>
        <w:spacing w:after="0" w:line="240" w:lineRule="auto"/>
        <w:ind w:firstLine="720"/>
        <w:jc w:val="both"/>
        <w:rPr>
          <w:sz w:val="20"/>
          <w:szCs w:val="20"/>
        </w:rPr>
      </w:pPr>
      <w:r w:rsidRPr="006179A3">
        <w:rPr>
          <w:sz w:val="20"/>
          <w:szCs w:val="20"/>
        </w:rPr>
        <w:t>Regarding the introduction of chiral substituents at the 6-position of the pyridyl ring, we have shown that the presence of groups at the 6- position of the 2-py substituents (</w:t>
      </w:r>
      <w:r w:rsidRPr="006179A3">
        <w:rPr>
          <w:i/>
          <w:iCs/>
          <w:sz w:val="20"/>
          <w:szCs w:val="20"/>
        </w:rPr>
        <w:t>i.e</w:t>
      </w:r>
      <w:r w:rsidRPr="006179A3">
        <w:rPr>
          <w:sz w:val="20"/>
          <w:szCs w:val="20"/>
        </w:rPr>
        <w:t>., adjacent to the N-atom) has a large effect on the coordination ability of the resulting [</w:t>
      </w:r>
      <w:proofErr w:type="spellStart"/>
      <w:proofErr w:type="gramStart"/>
      <w:r w:rsidRPr="006179A3">
        <w:rPr>
          <w:sz w:val="20"/>
          <w:szCs w:val="20"/>
        </w:rPr>
        <w:t>RAl</w:t>
      </w:r>
      <w:proofErr w:type="spellEnd"/>
      <w:r w:rsidRPr="006179A3">
        <w:rPr>
          <w:sz w:val="20"/>
          <w:szCs w:val="20"/>
        </w:rPr>
        <w:t>(</w:t>
      </w:r>
      <w:proofErr w:type="gramEnd"/>
      <w:r w:rsidRPr="006179A3">
        <w:rPr>
          <w:sz w:val="20"/>
          <w:szCs w:val="20"/>
        </w:rPr>
        <w:t>2-py´)</w:t>
      </w:r>
      <w:r w:rsidRPr="00180A01">
        <w:rPr>
          <w:sz w:val="20"/>
          <w:szCs w:val="20"/>
          <w:vertAlign w:val="subscript"/>
        </w:rPr>
        <w:t>3</w:t>
      </w:r>
      <w:r w:rsidR="00180A01">
        <w:rPr>
          <w:sz w:val="20"/>
          <w:szCs w:val="20"/>
        </w:rPr>
        <w:t>]- anions. In the case of</w:t>
      </w:r>
      <w:r w:rsidRPr="006179A3">
        <w:rPr>
          <w:sz w:val="20"/>
          <w:szCs w:val="20"/>
        </w:rPr>
        <w:t xml:space="preserve"> the 6-Me substituted ligand [</w:t>
      </w:r>
      <w:proofErr w:type="spellStart"/>
      <w:proofErr w:type="gramStart"/>
      <w:r w:rsidRPr="006179A3">
        <w:rPr>
          <w:sz w:val="20"/>
          <w:szCs w:val="20"/>
        </w:rPr>
        <w:t>EtAl</w:t>
      </w:r>
      <w:proofErr w:type="spellEnd"/>
      <w:r w:rsidRPr="006179A3">
        <w:rPr>
          <w:sz w:val="20"/>
          <w:szCs w:val="20"/>
        </w:rPr>
        <w:t>(</w:t>
      </w:r>
      <w:proofErr w:type="gramEnd"/>
      <w:r w:rsidRPr="006179A3">
        <w:rPr>
          <w:sz w:val="20"/>
          <w:szCs w:val="20"/>
        </w:rPr>
        <w:t>6-Me-2py)</w:t>
      </w:r>
      <w:r w:rsidRPr="00B37BA5">
        <w:rPr>
          <w:sz w:val="20"/>
          <w:szCs w:val="20"/>
          <w:vertAlign w:val="subscript"/>
        </w:rPr>
        <w:t>3</w:t>
      </w:r>
      <w:r w:rsidRPr="006179A3">
        <w:rPr>
          <w:sz w:val="20"/>
          <w:szCs w:val="20"/>
        </w:rPr>
        <w:t>]</w:t>
      </w:r>
      <w:r w:rsidR="00180A01">
        <w:rPr>
          <w:sz w:val="20"/>
          <w:szCs w:val="20"/>
        </w:rPr>
        <w:t xml:space="preserve"> </w:t>
      </w:r>
      <w:r w:rsidRPr="006179A3">
        <w:rPr>
          <w:i/>
          <w:iCs/>
          <w:sz w:val="20"/>
          <w:szCs w:val="20"/>
        </w:rPr>
        <w:t xml:space="preserve">cannot </w:t>
      </w:r>
      <w:r w:rsidRPr="006179A3">
        <w:rPr>
          <w:sz w:val="20"/>
          <w:szCs w:val="20"/>
        </w:rPr>
        <w:t xml:space="preserve">form a sandwich compound with Fe </w:t>
      </w:r>
      <w:r w:rsidR="001470FD" w:rsidRPr="006179A3">
        <w:rPr>
          <w:sz w:val="20"/>
          <w:szCs w:val="20"/>
        </w:rPr>
        <w:t xml:space="preserve">owing to steric </w:t>
      </w:r>
      <w:r w:rsidRPr="006179A3">
        <w:rPr>
          <w:sz w:val="20"/>
          <w:szCs w:val="20"/>
        </w:rPr>
        <w:t xml:space="preserve">congestion. At the same time, if the chiral ring substituent is too remote, then it is unlikely to have an effect on the </w:t>
      </w:r>
      <w:proofErr w:type="spellStart"/>
      <w:r w:rsidRPr="006179A3">
        <w:rPr>
          <w:sz w:val="20"/>
          <w:szCs w:val="20"/>
        </w:rPr>
        <w:t>enantioselectivity</w:t>
      </w:r>
      <w:proofErr w:type="spellEnd"/>
      <w:r w:rsidRPr="006179A3">
        <w:rPr>
          <w:sz w:val="20"/>
          <w:szCs w:val="20"/>
        </w:rPr>
        <w:t xml:space="preserve"> of epoxidation.</w:t>
      </w:r>
      <w:r w:rsidR="008313F6" w:rsidRPr="006179A3">
        <w:rPr>
          <w:sz w:val="20"/>
          <w:szCs w:val="20"/>
        </w:rPr>
        <w:t xml:space="preserve"> </w:t>
      </w:r>
      <w:r w:rsidRPr="006179A3">
        <w:rPr>
          <w:sz w:val="20"/>
          <w:szCs w:val="20"/>
        </w:rPr>
        <w:t xml:space="preserve">We circumvent </w:t>
      </w:r>
      <w:r w:rsidR="00404E1B" w:rsidRPr="006179A3">
        <w:rPr>
          <w:sz w:val="20"/>
          <w:szCs w:val="20"/>
        </w:rPr>
        <w:t>these difficulties</w:t>
      </w:r>
      <w:r w:rsidRPr="006179A3">
        <w:rPr>
          <w:sz w:val="20"/>
          <w:szCs w:val="20"/>
        </w:rPr>
        <w:t xml:space="preserve"> by introducing chirality </w:t>
      </w:r>
      <w:r w:rsidR="008313F6" w:rsidRPr="006179A3">
        <w:rPr>
          <w:sz w:val="20"/>
          <w:szCs w:val="20"/>
        </w:rPr>
        <w:t xml:space="preserve">through a novel methodology </w:t>
      </w:r>
      <w:r w:rsidRPr="006179A3">
        <w:rPr>
          <w:sz w:val="20"/>
          <w:szCs w:val="20"/>
        </w:rPr>
        <w:t xml:space="preserve">in the form of a </w:t>
      </w:r>
      <w:r w:rsidR="001470FD" w:rsidRPr="006179A3">
        <w:rPr>
          <w:sz w:val="20"/>
          <w:szCs w:val="20"/>
        </w:rPr>
        <w:t xml:space="preserve">chiral </w:t>
      </w:r>
      <w:proofErr w:type="spellStart"/>
      <w:r w:rsidR="001470FD" w:rsidRPr="006179A3">
        <w:rPr>
          <w:sz w:val="20"/>
          <w:szCs w:val="20"/>
        </w:rPr>
        <w:t>alkoxide</w:t>
      </w:r>
      <w:proofErr w:type="spellEnd"/>
      <w:r w:rsidR="001470FD" w:rsidRPr="006179A3">
        <w:rPr>
          <w:sz w:val="20"/>
          <w:szCs w:val="20"/>
        </w:rPr>
        <w:t>. In this manner</w:t>
      </w:r>
      <w:r w:rsidR="008A14A3" w:rsidRPr="006179A3">
        <w:rPr>
          <w:sz w:val="20"/>
          <w:szCs w:val="20"/>
        </w:rPr>
        <w:t>,</w:t>
      </w:r>
      <w:r w:rsidR="001470FD" w:rsidRPr="006179A3">
        <w:rPr>
          <w:sz w:val="20"/>
          <w:szCs w:val="20"/>
        </w:rPr>
        <w:t xml:space="preserve"> </w:t>
      </w:r>
      <w:r w:rsidR="008A14A3" w:rsidRPr="006179A3">
        <w:rPr>
          <w:sz w:val="20"/>
          <w:szCs w:val="20"/>
        </w:rPr>
        <w:t>the first examples of chiral pyridyl aluminates can be prepared by selective</w:t>
      </w:r>
      <w:r w:rsidR="001470FD" w:rsidRPr="006179A3">
        <w:rPr>
          <w:sz w:val="20"/>
          <w:szCs w:val="20"/>
        </w:rPr>
        <w:t xml:space="preserve"> replacement of </w:t>
      </w:r>
      <w:r w:rsidR="008A14A3" w:rsidRPr="006179A3">
        <w:rPr>
          <w:sz w:val="20"/>
          <w:szCs w:val="20"/>
        </w:rPr>
        <w:t xml:space="preserve">one or two </w:t>
      </w:r>
      <w:r w:rsidR="001470FD" w:rsidRPr="006179A3">
        <w:rPr>
          <w:sz w:val="20"/>
          <w:szCs w:val="20"/>
        </w:rPr>
        <w:t xml:space="preserve">the pyridyl </w:t>
      </w:r>
      <w:r w:rsidR="008A14A3" w:rsidRPr="006179A3">
        <w:rPr>
          <w:sz w:val="20"/>
          <w:szCs w:val="20"/>
        </w:rPr>
        <w:t xml:space="preserve">groups </w:t>
      </w:r>
      <w:r w:rsidR="001470FD" w:rsidRPr="006179A3">
        <w:rPr>
          <w:sz w:val="20"/>
          <w:szCs w:val="20"/>
        </w:rPr>
        <w:t>under mild conditions and without racemization</w:t>
      </w:r>
      <w:r w:rsidR="00B37BA5">
        <w:rPr>
          <w:sz w:val="20"/>
          <w:szCs w:val="20"/>
        </w:rPr>
        <w:t xml:space="preserve"> (</w:t>
      </w:r>
      <w:r w:rsidR="00B37BA5" w:rsidRPr="00B37BA5">
        <w:rPr>
          <w:b/>
          <w:sz w:val="20"/>
          <w:szCs w:val="20"/>
        </w:rPr>
        <w:t>2</w:t>
      </w:r>
      <w:r w:rsidR="00B37BA5">
        <w:rPr>
          <w:sz w:val="20"/>
          <w:szCs w:val="20"/>
        </w:rPr>
        <w:t xml:space="preserve"> and </w:t>
      </w:r>
      <w:r w:rsidR="00B37BA5" w:rsidRPr="00B37BA5">
        <w:rPr>
          <w:b/>
          <w:sz w:val="20"/>
          <w:szCs w:val="20"/>
        </w:rPr>
        <w:t>3</w:t>
      </w:r>
      <w:r w:rsidR="00B37BA5">
        <w:rPr>
          <w:sz w:val="20"/>
          <w:szCs w:val="20"/>
        </w:rPr>
        <w:t>, Figure 2)</w:t>
      </w:r>
      <w:r w:rsidR="008313F6" w:rsidRPr="006179A3">
        <w:rPr>
          <w:sz w:val="20"/>
          <w:szCs w:val="20"/>
        </w:rPr>
        <w:t>.</w:t>
      </w:r>
      <w:r w:rsidR="00404E1B" w:rsidRPr="006179A3">
        <w:rPr>
          <w:sz w:val="20"/>
          <w:szCs w:val="20"/>
        </w:rPr>
        <w:t xml:space="preserve"> The generalization of this methodology and its </w:t>
      </w:r>
      <w:r w:rsidR="00404E1B" w:rsidRPr="006179A3">
        <w:rPr>
          <w:sz w:val="20"/>
          <w:szCs w:val="20"/>
          <w:lang w:val="en-US"/>
        </w:rPr>
        <w:t>selectivity</w:t>
      </w:r>
      <w:r w:rsidR="00404E1B" w:rsidRPr="006179A3">
        <w:rPr>
          <w:sz w:val="20"/>
          <w:szCs w:val="20"/>
        </w:rPr>
        <w:t xml:space="preserve"> in </w:t>
      </w:r>
      <w:r w:rsidR="00404E1B" w:rsidRPr="006179A3">
        <w:rPr>
          <w:sz w:val="20"/>
          <w:szCs w:val="20"/>
          <w:lang w:val="en-US"/>
        </w:rPr>
        <w:t xml:space="preserve">building </w:t>
      </w:r>
      <w:proofErr w:type="spellStart"/>
      <w:r w:rsidR="00404E1B" w:rsidRPr="006179A3">
        <w:rPr>
          <w:sz w:val="20"/>
          <w:szCs w:val="20"/>
          <w:lang w:val="en-US"/>
        </w:rPr>
        <w:t>heteroleptic</w:t>
      </w:r>
      <w:proofErr w:type="spellEnd"/>
      <w:r w:rsidR="00404E1B" w:rsidRPr="006179A3">
        <w:rPr>
          <w:sz w:val="20"/>
          <w:szCs w:val="20"/>
          <w:lang w:val="en-US"/>
        </w:rPr>
        <w:t xml:space="preserve"> systems is demonstrated by the introd</w:t>
      </w:r>
      <w:r w:rsidR="00B37BA5">
        <w:rPr>
          <w:sz w:val="20"/>
          <w:szCs w:val="20"/>
          <w:lang w:val="en-US"/>
        </w:rPr>
        <w:t>uction of other functionalities</w:t>
      </w:r>
      <w:r w:rsidR="00404E1B" w:rsidRPr="006179A3">
        <w:rPr>
          <w:sz w:val="20"/>
          <w:szCs w:val="20"/>
        </w:rPr>
        <w:t xml:space="preserve"> (</w:t>
      </w:r>
      <w:r w:rsidR="00404E1B" w:rsidRPr="00180A01">
        <w:rPr>
          <w:i/>
          <w:sz w:val="20"/>
          <w:szCs w:val="20"/>
        </w:rPr>
        <w:t>i.e.</w:t>
      </w:r>
      <w:r w:rsidR="00404E1B" w:rsidRPr="006179A3">
        <w:rPr>
          <w:sz w:val="20"/>
          <w:szCs w:val="20"/>
        </w:rPr>
        <w:t xml:space="preserve"> carboxylic acids) in the aluminate framework, thus showing its potential for extensive elaboration of the steric and donor character of these ligands</w:t>
      </w:r>
      <w:r w:rsidR="008A14A3" w:rsidRPr="006179A3">
        <w:rPr>
          <w:sz w:val="20"/>
          <w:szCs w:val="20"/>
        </w:rPr>
        <w:t>.</w:t>
      </w:r>
    </w:p>
    <w:p w:rsidR="005E2FB1" w:rsidRDefault="005E2FB1" w:rsidP="006179A3">
      <w:pPr>
        <w:shd w:val="clear" w:color="auto" w:fill="FFFFFF"/>
        <w:spacing w:after="0" w:line="240" w:lineRule="auto"/>
        <w:jc w:val="both"/>
      </w:pPr>
    </w:p>
    <w:p w:rsidR="005E2FB1" w:rsidRDefault="005E2FB1" w:rsidP="006179A3">
      <w:pPr>
        <w:shd w:val="clear" w:color="auto" w:fill="FFFFFF"/>
        <w:spacing w:after="0" w:line="240" w:lineRule="auto"/>
        <w:jc w:val="both"/>
      </w:pPr>
    </w:p>
    <w:sectPr w:rsidR="005E2F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2C" w:rsidRDefault="00B65B2C" w:rsidP="00200AA3">
      <w:pPr>
        <w:spacing w:after="0" w:line="240" w:lineRule="auto"/>
      </w:pPr>
      <w:r>
        <w:separator/>
      </w:r>
    </w:p>
  </w:endnote>
  <w:endnote w:type="continuationSeparator" w:id="0">
    <w:p w:rsidR="00B65B2C" w:rsidRDefault="00B65B2C" w:rsidP="0020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OT999035f4">
    <w:panose1 w:val="00000000000000000000"/>
    <w:charset w:val="00"/>
    <w:family w:val="roman"/>
    <w:notTrueType/>
    <w:pitch w:val="default"/>
    <w:sig w:usb0="00000003" w:usb1="00000000" w:usb2="00000000" w:usb3="00000000" w:csb0="00000001" w:csb1="00000000"/>
  </w:font>
  <w:font w:name="AdvTT5843c571+20">
    <w:altName w:val="MS Mincho"/>
    <w:panose1 w:val="00000000000000000000"/>
    <w:charset w:val="80"/>
    <w:family w:val="auto"/>
    <w:notTrueType/>
    <w:pitch w:val="default"/>
    <w:sig w:usb0="00000000" w:usb1="08070000" w:usb2="00000010" w:usb3="00000000" w:csb0="00020000" w:csb1="00000000"/>
  </w:font>
  <w:font w:name="AdvOT999035f4+20">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2C" w:rsidRDefault="00B65B2C" w:rsidP="00200AA3">
      <w:pPr>
        <w:spacing w:after="0" w:line="240" w:lineRule="auto"/>
      </w:pPr>
      <w:r>
        <w:separator/>
      </w:r>
    </w:p>
  </w:footnote>
  <w:footnote w:type="continuationSeparator" w:id="0">
    <w:p w:rsidR="00B65B2C" w:rsidRDefault="00B65B2C" w:rsidP="00200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0EBF"/>
    <w:multiLevelType w:val="hybridMultilevel"/>
    <w:tmpl w:val="A27AADFE"/>
    <w:lvl w:ilvl="0" w:tplc="717E55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E4658"/>
    <w:multiLevelType w:val="hybridMultilevel"/>
    <w:tmpl w:val="14601062"/>
    <w:lvl w:ilvl="0" w:tplc="3E4C33B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69"/>
    <w:rsid w:val="000049A2"/>
    <w:rsid w:val="000406D7"/>
    <w:rsid w:val="00045EBF"/>
    <w:rsid w:val="000515C5"/>
    <w:rsid w:val="00085FD2"/>
    <w:rsid w:val="00092FB7"/>
    <w:rsid w:val="000F6463"/>
    <w:rsid w:val="001303E8"/>
    <w:rsid w:val="00131BD1"/>
    <w:rsid w:val="001470FD"/>
    <w:rsid w:val="00180A01"/>
    <w:rsid w:val="001A1FB6"/>
    <w:rsid w:val="001C5206"/>
    <w:rsid w:val="001E5F65"/>
    <w:rsid w:val="001F6EB2"/>
    <w:rsid w:val="00200AA3"/>
    <w:rsid w:val="002201FA"/>
    <w:rsid w:val="0024186A"/>
    <w:rsid w:val="002450B9"/>
    <w:rsid w:val="002542CF"/>
    <w:rsid w:val="00284EEC"/>
    <w:rsid w:val="002B5D17"/>
    <w:rsid w:val="003012B0"/>
    <w:rsid w:val="00343926"/>
    <w:rsid w:val="00404E1B"/>
    <w:rsid w:val="00416E36"/>
    <w:rsid w:val="00435C15"/>
    <w:rsid w:val="004547CA"/>
    <w:rsid w:val="004B665A"/>
    <w:rsid w:val="004E010E"/>
    <w:rsid w:val="004E18C7"/>
    <w:rsid w:val="004F5F22"/>
    <w:rsid w:val="00504E97"/>
    <w:rsid w:val="00516A73"/>
    <w:rsid w:val="0052364D"/>
    <w:rsid w:val="00592CA8"/>
    <w:rsid w:val="005A3B17"/>
    <w:rsid w:val="005E2FB1"/>
    <w:rsid w:val="006179A3"/>
    <w:rsid w:val="00650077"/>
    <w:rsid w:val="006B6AB4"/>
    <w:rsid w:val="006E1A52"/>
    <w:rsid w:val="00707BF1"/>
    <w:rsid w:val="007615A8"/>
    <w:rsid w:val="007A1743"/>
    <w:rsid w:val="007C0D00"/>
    <w:rsid w:val="007C1B36"/>
    <w:rsid w:val="0081692D"/>
    <w:rsid w:val="008313F6"/>
    <w:rsid w:val="00831A28"/>
    <w:rsid w:val="0083369B"/>
    <w:rsid w:val="00840232"/>
    <w:rsid w:val="00841097"/>
    <w:rsid w:val="00850AF1"/>
    <w:rsid w:val="00865089"/>
    <w:rsid w:val="008A14A3"/>
    <w:rsid w:val="008A5D68"/>
    <w:rsid w:val="008E73B8"/>
    <w:rsid w:val="00940A65"/>
    <w:rsid w:val="00951ABD"/>
    <w:rsid w:val="009522E0"/>
    <w:rsid w:val="009840D7"/>
    <w:rsid w:val="009D116D"/>
    <w:rsid w:val="009D175F"/>
    <w:rsid w:val="009E73CE"/>
    <w:rsid w:val="00A324AB"/>
    <w:rsid w:val="00A42BF5"/>
    <w:rsid w:val="00AD5528"/>
    <w:rsid w:val="00AF516D"/>
    <w:rsid w:val="00B13260"/>
    <w:rsid w:val="00B3689A"/>
    <w:rsid w:val="00B37BA5"/>
    <w:rsid w:val="00B56DE8"/>
    <w:rsid w:val="00B65B2C"/>
    <w:rsid w:val="00B74052"/>
    <w:rsid w:val="00B819A0"/>
    <w:rsid w:val="00C01D11"/>
    <w:rsid w:val="00C237B8"/>
    <w:rsid w:val="00C8226C"/>
    <w:rsid w:val="00C96FCA"/>
    <w:rsid w:val="00CB2481"/>
    <w:rsid w:val="00CC154B"/>
    <w:rsid w:val="00CC1BD3"/>
    <w:rsid w:val="00CC4398"/>
    <w:rsid w:val="00CD38CD"/>
    <w:rsid w:val="00CF7269"/>
    <w:rsid w:val="00D14CE6"/>
    <w:rsid w:val="00D366A4"/>
    <w:rsid w:val="00DA5D8B"/>
    <w:rsid w:val="00E24B5E"/>
    <w:rsid w:val="00E429B5"/>
    <w:rsid w:val="00E53C0D"/>
    <w:rsid w:val="00E56320"/>
    <w:rsid w:val="00EA0546"/>
    <w:rsid w:val="00EB570B"/>
    <w:rsid w:val="00F5663A"/>
    <w:rsid w:val="00FF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D7"/>
    <w:pPr>
      <w:ind w:left="720"/>
      <w:contextualSpacing/>
    </w:p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200AA3"/>
    <w:rPr>
      <w:vertAlign w:val="superscript"/>
    </w:rPr>
  </w:style>
  <w:style w:type="paragraph" w:customStyle="1" w:styleId="TFReferencesSection">
    <w:name w:val="TF_References_Section"/>
    <w:basedOn w:val="Normal"/>
    <w:next w:val="Normal"/>
    <w:autoRedefine/>
    <w:rsid w:val="00200AA3"/>
    <w:pPr>
      <w:spacing w:after="0" w:line="240" w:lineRule="auto"/>
      <w:ind w:firstLine="142"/>
      <w:jc w:val="both"/>
    </w:pPr>
    <w:rPr>
      <w:rFonts w:ascii="Times New Roman" w:eastAsia="Times New Roman" w:hAnsi="Times New Roman" w:cs="Times New Roman"/>
      <w:kern w:val="19"/>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D7"/>
    <w:pPr>
      <w:ind w:left="720"/>
      <w:contextualSpacing/>
    </w:p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200AA3"/>
    <w:rPr>
      <w:vertAlign w:val="superscript"/>
    </w:rPr>
  </w:style>
  <w:style w:type="paragraph" w:customStyle="1" w:styleId="TFReferencesSection">
    <w:name w:val="TF_References_Section"/>
    <w:basedOn w:val="Normal"/>
    <w:next w:val="Normal"/>
    <w:autoRedefine/>
    <w:rsid w:val="00200AA3"/>
    <w:pPr>
      <w:spacing w:after="0" w:line="240" w:lineRule="auto"/>
      <w:ind w:firstLine="142"/>
      <w:jc w:val="both"/>
    </w:pPr>
    <w:rPr>
      <w:rFonts w:ascii="Times New Roman" w:eastAsia="Times New Roman" w:hAnsi="Times New Roman" w:cs="Times New Roman"/>
      <w:kern w:val="19"/>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1607">
      <w:bodyDiv w:val="1"/>
      <w:marLeft w:val="0"/>
      <w:marRight w:val="0"/>
      <w:marTop w:val="0"/>
      <w:marBottom w:val="0"/>
      <w:divBdr>
        <w:top w:val="none" w:sz="0" w:space="0" w:color="auto"/>
        <w:left w:val="none" w:sz="0" w:space="0" w:color="auto"/>
        <w:bottom w:val="none" w:sz="0" w:space="0" w:color="auto"/>
        <w:right w:val="none" w:sz="0" w:space="0" w:color="auto"/>
      </w:divBdr>
    </w:div>
    <w:div w:id="1476797596">
      <w:bodyDiv w:val="1"/>
      <w:marLeft w:val="0"/>
      <w:marRight w:val="0"/>
      <w:marTop w:val="0"/>
      <w:marBottom w:val="0"/>
      <w:divBdr>
        <w:top w:val="none" w:sz="0" w:space="0" w:color="auto"/>
        <w:left w:val="none" w:sz="0" w:space="0" w:color="auto"/>
        <w:bottom w:val="none" w:sz="0" w:space="0" w:color="auto"/>
        <w:right w:val="none" w:sz="0" w:space="0" w:color="auto"/>
      </w:divBdr>
      <w:divsChild>
        <w:div w:id="1560363243">
          <w:marLeft w:val="0"/>
          <w:marRight w:val="0"/>
          <w:marTop w:val="0"/>
          <w:marBottom w:val="0"/>
          <w:divBdr>
            <w:top w:val="none" w:sz="0" w:space="0" w:color="auto"/>
            <w:left w:val="none" w:sz="0" w:space="0" w:color="auto"/>
            <w:bottom w:val="none" w:sz="0" w:space="0" w:color="auto"/>
            <w:right w:val="none" w:sz="0" w:space="0" w:color="auto"/>
          </w:divBdr>
        </w:div>
        <w:div w:id="288898760">
          <w:marLeft w:val="0"/>
          <w:marRight w:val="0"/>
          <w:marTop w:val="0"/>
          <w:marBottom w:val="0"/>
          <w:divBdr>
            <w:top w:val="none" w:sz="0" w:space="0" w:color="auto"/>
            <w:left w:val="none" w:sz="0" w:space="0" w:color="auto"/>
            <w:bottom w:val="none" w:sz="0" w:space="0" w:color="auto"/>
            <w:right w:val="none" w:sz="0" w:space="0" w:color="auto"/>
          </w:divBdr>
        </w:div>
        <w:div w:id="522786165">
          <w:marLeft w:val="0"/>
          <w:marRight w:val="0"/>
          <w:marTop w:val="0"/>
          <w:marBottom w:val="0"/>
          <w:divBdr>
            <w:top w:val="none" w:sz="0" w:space="0" w:color="auto"/>
            <w:left w:val="none" w:sz="0" w:space="0" w:color="auto"/>
            <w:bottom w:val="none" w:sz="0" w:space="0" w:color="auto"/>
            <w:right w:val="none" w:sz="0" w:space="0" w:color="auto"/>
          </w:divBdr>
        </w:div>
        <w:div w:id="1015377068">
          <w:marLeft w:val="0"/>
          <w:marRight w:val="0"/>
          <w:marTop w:val="0"/>
          <w:marBottom w:val="0"/>
          <w:divBdr>
            <w:top w:val="none" w:sz="0" w:space="0" w:color="auto"/>
            <w:left w:val="none" w:sz="0" w:space="0" w:color="auto"/>
            <w:bottom w:val="none" w:sz="0" w:space="0" w:color="auto"/>
            <w:right w:val="none" w:sz="0" w:space="0" w:color="auto"/>
          </w:divBdr>
        </w:div>
        <w:div w:id="615677281">
          <w:marLeft w:val="0"/>
          <w:marRight w:val="0"/>
          <w:marTop w:val="0"/>
          <w:marBottom w:val="0"/>
          <w:divBdr>
            <w:top w:val="none" w:sz="0" w:space="0" w:color="auto"/>
            <w:left w:val="none" w:sz="0" w:space="0" w:color="auto"/>
            <w:bottom w:val="none" w:sz="0" w:space="0" w:color="auto"/>
            <w:right w:val="none" w:sz="0" w:space="0" w:color="auto"/>
          </w:divBdr>
        </w:div>
        <w:div w:id="447627807">
          <w:marLeft w:val="0"/>
          <w:marRight w:val="0"/>
          <w:marTop w:val="0"/>
          <w:marBottom w:val="0"/>
          <w:divBdr>
            <w:top w:val="none" w:sz="0" w:space="0" w:color="auto"/>
            <w:left w:val="none" w:sz="0" w:space="0" w:color="auto"/>
            <w:bottom w:val="none" w:sz="0" w:space="0" w:color="auto"/>
            <w:right w:val="none" w:sz="0" w:space="0" w:color="auto"/>
          </w:divBdr>
        </w:div>
        <w:div w:id="1301690246">
          <w:marLeft w:val="0"/>
          <w:marRight w:val="0"/>
          <w:marTop w:val="0"/>
          <w:marBottom w:val="0"/>
          <w:divBdr>
            <w:top w:val="none" w:sz="0" w:space="0" w:color="auto"/>
            <w:left w:val="none" w:sz="0" w:space="0" w:color="auto"/>
            <w:bottom w:val="none" w:sz="0" w:space="0" w:color="auto"/>
            <w:right w:val="none" w:sz="0" w:space="0" w:color="auto"/>
          </w:divBdr>
        </w:div>
        <w:div w:id="448669999">
          <w:marLeft w:val="0"/>
          <w:marRight w:val="0"/>
          <w:marTop w:val="0"/>
          <w:marBottom w:val="0"/>
          <w:divBdr>
            <w:top w:val="none" w:sz="0" w:space="0" w:color="auto"/>
            <w:left w:val="none" w:sz="0" w:space="0" w:color="auto"/>
            <w:bottom w:val="none" w:sz="0" w:space="0" w:color="auto"/>
            <w:right w:val="none" w:sz="0" w:space="0" w:color="auto"/>
          </w:divBdr>
        </w:div>
        <w:div w:id="287709774">
          <w:marLeft w:val="0"/>
          <w:marRight w:val="0"/>
          <w:marTop w:val="0"/>
          <w:marBottom w:val="0"/>
          <w:divBdr>
            <w:top w:val="none" w:sz="0" w:space="0" w:color="auto"/>
            <w:left w:val="none" w:sz="0" w:space="0" w:color="auto"/>
            <w:bottom w:val="none" w:sz="0" w:space="0" w:color="auto"/>
            <w:right w:val="none" w:sz="0" w:space="0" w:color="auto"/>
          </w:divBdr>
        </w:div>
        <w:div w:id="1057631114">
          <w:marLeft w:val="0"/>
          <w:marRight w:val="0"/>
          <w:marTop w:val="0"/>
          <w:marBottom w:val="0"/>
          <w:divBdr>
            <w:top w:val="none" w:sz="0" w:space="0" w:color="auto"/>
            <w:left w:val="none" w:sz="0" w:space="0" w:color="auto"/>
            <w:bottom w:val="none" w:sz="0" w:space="0" w:color="auto"/>
            <w:right w:val="none" w:sz="0" w:space="0" w:color="auto"/>
          </w:divBdr>
        </w:div>
      </w:divsChild>
    </w:div>
    <w:div w:id="15362346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325">
          <w:marLeft w:val="0"/>
          <w:marRight w:val="0"/>
          <w:marTop w:val="0"/>
          <w:marBottom w:val="0"/>
          <w:divBdr>
            <w:top w:val="none" w:sz="0" w:space="0" w:color="auto"/>
            <w:left w:val="none" w:sz="0" w:space="0" w:color="auto"/>
            <w:bottom w:val="none" w:sz="0" w:space="0" w:color="auto"/>
            <w:right w:val="none" w:sz="0" w:space="0" w:color="auto"/>
          </w:divBdr>
        </w:div>
        <w:div w:id="639699103">
          <w:marLeft w:val="0"/>
          <w:marRight w:val="0"/>
          <w:marTop w:val="0"/>
          <w:marBottom w:val="0"/>
          <w:divBdr>
            <w:top w:val="none" w:sz="0" w:space="0" w:color="auto"/>
            <w:left w:val="none" w:sz="0" w:space="0" w:color="auto"/>
            <w:bottom w:val="none" w:sz="0" w:space="0" w:color="auto"/>
            <w:right w:val="none" w:sz="0" w:space="0" w:color="auto"/>
          </w:divBdr>
        </w:div>
        <w:div w:id="1229265884">
          <w:marLeft w:val="0"/>
          <w:marRight w:val="0"/>
          <w:marTop w:val="0"/>
          <w:marBottom w:val="0"/>
          <w:divBdr>
            <w:top w:val="none" w:sz="0" w:space="0" w:color="auto"/>
            <w:left w:val="none" w:sz="0" w:space="0" w:color="auto"/>
            <w:bottom w:val="none" w:sz="0" w:space="0" w:color="auto"/>
            <w:right w:val="none" w:sz="0" w:space="0" w:color="auto"/>
          </w:divBdr>
        </w:div>
        <w:div w:id="1312634947">
          <w:marLeft w:val="0"/>
          <w:marRight w:val="0"/>
          <w:marTop w:val="0"/>
          <w:marBottom w:val="0"/>
          <w:divBdr>
            <w:top w:val="none" w:sz="0" w:space="0" w:color="auto"/>
            <w:left w:val="none" w:sz="0" w:space="0" w:color="auto"/>
            <w:bottom w:val="none" w:sz="0" w:space="0" w:color="auto"/>
            <w:right w:val="none" w:sz="0" w:space="0" w:color="auto"/>
          </w:divBdr>
        </w:div>
        <w:div w:id="2112847706">
          <w:marLeft w:val="0"/>
          <w:marRight w:val="0"/>
          <w:marTop w:val="0"/>
          <w:marBottom w:val="0"/>
          <w:divBdr>
            <w:top w:val="none" w:sz="0" w:space="0" w:color="auto"/>
            <w:left w:val="none" w:sz="0" w:space="0" w:color="auto"/>
            <w:bottom w:val="none" w:sz="0" w:space="0" w:color="auto"/>
            <w:right w:val="none" w:sz="0" w:space="0" w:color="auto"/>
          </w:divBdr>
        </w:div>
        <w:div w:id="1492913271">
          <w:marLeft w:val="0"/>
          <w:marRight w:val="0"/>
          <w:marTop w:val="0"/>
          <w:marBottom w:val="0"/>
          <w:divBdr>
            <w:top w:val="none" w:sz="0" w:space="0" w:color="auto"/>
            <w:left w:val="none" w:sz="0" w:space="0" w:color="auto"/>
            <w:bottom w:val="none" w:sz="0" w:space="0" w:color="auto"/>
            <w:right w:val="none" w:sz="0" w:space="0" w:color="auto"/>
          </w:divBdr>
        </w:div>
        <w:div w:id="1286084776">
          <w:marLeft w:val="0"/>
          <w:marRight w:val="0"/>
          <w:marTop w:val="0"/>
          <w:marBottom w:val="0"/>
          <w:divBdr>
            <w:top w:val="none" w:sz="0" w:space="0" w:color="auto"/>
            <w:left w:val="none" w:sz="0" w:space="0" w:color="auto"/>
            <w:bottom w:val="none" w:sz="0" w:space="0" w:color="auto"/>
            <w:right w:val="none" w:sz="0" w:space="0" w:color="auto"/>
          </w:divBdr>
        </w:div>
        <w:div w:id="178002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dsw1000</cp:lastModifiedBy>
  <cp:revision>2</cp:revision>
  <dcterms:created xsi:type="dcterms:W3CDTF">2016-03-15T11:09:00Z</dcterms:created>
  <dcterms:modified xsi:type="dcterms:W3CDTF">2016-03-15T11:09:00Z</dcterms:modified>
</cp:coreProperties>
</file>