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charts/chart6.xml" ContentType="application/vnd.openxmlformats-officedocument.drawingml.chart+xml"/>
  <Override PartName="/word/drawings/drawing2.xml" ContentType="application/vnd.openxmlformats-officedocument.drawingml.chartshapes+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4867" w:rsidRPr="005C1C3D" w:rsidRDefault="00CD4867" w:rsidP="00CD4867">
      <w:pPr>
        <w:jc w:val="center"/>
        <w:rPr>
          <w:rFonts w:ascii="Calibri" w:hAnsi="Calibri" w:cs="Calibri"/>
          <w:b/>
          <w:sz w:val="32"/>
          <w:lang w:val="en-US"/>
        </w:rPr>
      </w:pPr>
      <w:proofErr w:type="spellStart"/>
      <w:r w:rsidRPr="005C1C3D">
        <w:rPr>
          <w:rFonts w:ascii="Calibri" w:hAnsi="Calibri" w:cs="Calibri"/>
          <w:b/>
          <w:sz w:val="32"/>
          <w:lang w:val="en-US"/>
        </w:rPr>
        <w:t>UP</w:t>
      </w:r>
      <w:r w:rsidR="003E4F08">
        <w:rPr>
          <w:rFonts w:ascii="Calibri" w:hAnsi="Calibri" w:cs="Calibri"/>
          <w:b/>
          <w:sz w:val="32"/>
          <w:lang w:val="en-US"/>
        </w:rPr>
        <w:t>F</w:t>
      </w:r>
      <w:r w:rsidRPr="005C1C3D">
        <w:rPr>
          <w:rFonts w:ascii="Calibri" w:hAnsi="Calibri" w:cs="Calibri"/>
          <w:b/>
          <w:sz w:val="32"/>
          <w:lang w:val="en-US"/>
        </w:rPr>
        <w:t>ellows</w:t>
      </w:r>
      <w:proofErr w:type="spellEnd"/>
      <w:r w:rsidRPr="005C1C3D">
        <w:rPr>
          <w:rFonts w:ascii="Calibri" w:hAnsi="Calibri" w:cs="Calibri"/>
          <w:b/>
          <w:sz w:val="32"/>
          <w:lang w:val="en-US"/>
        </w:rPr>
        <w:t xml:space="preserve"> </w:t>
      </w:r>
      <w:proofErr w:type="spellStart"/>
      <w:r w:rsidRPr="005C1C3D">
        <w:rPr>
          <w:rFonts w:ascii="Calibri" w:hAnsi="Calibri" w:cs="Calibri"/>
          <w:b/>
          <w:sz w:val="32"/>
          <w:lang w:val="en-US"/>
        </w:rPr>
        <w:t>programme</w:t>
      </w:r>
      <w:proofErr w:type="spellEnd"/>
    </w:p>
    <w:p w:rsidR="0033720D" w:rsidRPr="005C1C3D" w:rsidRDefault="0033720D" w:rsidP="00CD4867">
      <w:pPr>
        <w:jc w:val="both"/>
        <w:rPr>
          <w:rFonts w:ascii="Calibri" w:hAnsi="Calibri" w:cs="Calibri"/>
          <w:b/>
          <w:lang w:val="en-US"/>
        </w:rPr>
      </w:pPr>
    </w:p>
    <w:p w:rsidR="0033720D" w:rsidRPr="005C1C3D" w:rsidRDefault="0033720D" w:rsidP="00CD4867">
      <w:pPr>
        <w:jc w:val="both"/>
        <w:rPr>
          <w:rFonts w:ascii="Calibri" w:hAnsi="Calibri" w:cs="Calibri"/>
          <w:b/>
          <w:lang w:val="en-US"/>
        </w:rPr>
      </w:pPr>
    </w:p>
    <w:p w:rsidR="005852A5" w:rsidRPr="005C1C3D" w:rsidRDefault="005852A5" w:rsidP="00CD4867">
      <w:pPr>
        <w:jc w:val="both"/>
        <w:rPr>
          <w:rFonts w:ascii="Calibri" w:hAnsi="Calibri" w:cs="Calibri"/>
          <w:b/>
          <w:sz w:val="28"/>
          <w:lang w:val="en-US"/>
        </w:rPr>
      </w:pPr>
      <w:proofErr w:type="gramStart"/>
      <w:r w:rsidRPr="005C1C3D">
        <w:rPr>
          <w:rFonts w:ascii="Calibri" w:hAnsi="Calibri" w:cs="Calibri"/>
          <w:b/>
          <w:sz w:val="28"/>
          <w:lang w:val="en-US"/>
        </w:rPr>
        <w:t>Publishable  Summary</w:t>
      </w:r>
      <w:proofErr w:type="gramEnd"/>
    </w:p>
    <w:p w:rsidR="005852A5" w:rsidRPr="000847F6" w:rsidRDefault="005852A5" w:rsidP="005852A5">
      <w:pPr>
        <w:jc w:val="both"/>
        <w:rPr>
          <w:rFonts w:ascii="Calibri" w:hAnsi="Calibri" w:cs="Calibri"/>
          <w:b/>
          <w:lang w:val="en-US"/>
        </w:rPr>
      </w:pPr>
    </w:p>
    <w:p w:rsidR="005852A5" w:rsidRDefault="005852A5" w:rsidP="005852A5">
      <w:pPr>
        <w:spacing w:after="120" w:line="276" w:lineRule="auto"/>
        <w:jc w:val="both"/>
        <w:rPr>
          <w:rFonts w:ascii="Arial" w:hAnsi="Arial" w:cs="Arial"/>
          <w:sz w:val="22"/>
          <w:szCs w:val="22"/>
          <w:lang w:val="en-US"/>
        </w:rPr>
      </w:pPr>
      <w:r w:rsidRPr="00E64380">
        <w:rPr>
          <w:rFonts w:ascii="Arial" w:hAnsi="Arial" w:cs="Arial"/>
          <w:color w:val="000000"/>
          <w:sz w:val="22"/>
          <w:szCs w:val="22"/>
          <w:lang w:val="en-US"/>
        </w:rPr>
        <w:t xml:space="preserve">The </w:t>
      </w:r>
      <w:proofErr w:type="spellStart"/>
      <w:r w:rsidRPr="002C68EB">
        <w:rPr>
          <w:rFonts w:ascii="Arial" w:hAnsi="Arial" w:cs="Arial"/>
          <w:b/>
          <w:sz w:val="22"/>
          <w:szCs w:val="22"/>
          <w:lang w:val="en-US"/>
        </w:rPr>
        <w:t>UP</w:t>
      </w:r>
      <w:r w:rsidR="003E4F08">
        <w:rPr>
          <w:rFonts w:ascii="Arial" w:hAnsi="Arial" w:cs="Arial"/>
          <w:b/>
          <w:sz w:val="22"/>
          <w:szCs w:val="22"/>
          <w:lang w:val="en-US"/>
        </w:rPr>
        <w:t>F</w:t>
      </w:r>
      <w:r w:rsidRPr="002C68EB">
        <w:rPr>
          <w:rFonts w:ascii="Arial" w:hAnsi="Arial" w:cs="Arial"/>
          <w:b/>
          <w:sz w:val="22"/>
          <w:szCs w:val="22"/>
          <w:lang w:val="en-US"/>
        </w:rPr>
        <w:t>ellows</w:t>
      </w:r>
      <w:proofErr w:type="spellEnd"/>
      <w:r w:rsidRPr="002C68EB">
        <w:rPr>
          <w:rFonts w:ascii="Arial" w:hAnsi="Arial" w:cs="Arial"/>
          <w:b/>
          <w:sz w:val="22"/>
          <w:szCs w:val="22"/>
          <w:lang w:val="en-US"/>
        </w:rPr>
        <w:t xml:space="preserve"> </w:t>
      </w:r>
      <w:proofErr w:type="spellStart"/>
      <w:r w:rsidRPr="002C68EB">
        <w:rPr>
          <w:rFonts w:ascii="Arial" w:hAnsi="Arial" w:cs="Arial"/>
          <w:b/>
          <w:sz w:val="22"/>
          <w:szCs w:val="22"/>
          <w:lang w:val="en-US"/>
        </w:rPr>
        <w:t>programme</w:t>
      </w:r>
      <w:proofErr w:type="spellEnd"/>
      <w:r w:rsidRPr="00987BF7">
        <w:rPr>
          <w:rFonts w:ascii="Arial" w:hAnsi="Arial" w:cs="Arial"/>
          <w:b/>
          <w:color w:val="000000"/>
          <w:sz w:val="22"/>
          <w:szCs w:val="22"/>
          <w:lang w:val="en-US"/>
        </w:rPr>
        <w:t xml:space="preserve"> </w:t>
      </w:r>
      <w:r w:rsidR="002C68EB" w:rsidRPr="002C68EB">
        <w:rPr>
          <w:rFonts w:ascii="Arial" w:hAnsi="Arial" w:cs="Arial"/>
          <w:color w:val="000000"/>
          <w:sz w:val="22"/>
          <w:szCs w:val="22"/>
          <w:lang w:val="en-US"/>
        </w:rPr>
        <w:t>(</w:t>
      </w:r>
      <w:hyperlink r:id="rId5" w:history="1">
        <w:r w:rsidR="002C68EB" w:rsidRPr="002C68EB">
          <w:rPr>
            <w:rStyle w:val="Hipervnculo"/>
            <w:rFonts w:ascii="Arial" w:hAnsi="Arial" w:cs="Arial"/>
            <w:sz w:val="22"/>
            <w:szCs w:val="22"/>
            <w:lang w:val="en-US"/>
          </w:rPr>
          <w:t>http://www.upf.edu/upfellows</w:t>
        </w:r>
      </w:hyperlink>
      <w:r w:rsidR="002C68EB" w:rsidRPr="002C68EB">
        <w:rPr>
          <w:rFonts w:ascii="Arial" w:hAnsi="Arial" w:cs="Arial"/>
          <w:color w:val="000000"/>
          <w:sz w:val="22"/>
          <w:szCs w:val="22"/>
          <w:lang w:val="en-US"/>
        </w:rPr>
        <w:t>)</w:t>
      </w:r>
      <w:r w:rsidR="002C68EB">
        <w:rPr>
          <w:rFonts w:ascii="Arial" w:hAnsi="Arial" w:cs="Arial"/>
          <w:b/>
          <w:color w:val="000000"/>
          <w:sz w:val="22"/>
          <w:szCs w:val="22"/>
          <w:lang w:val="en-US"/>
        </w:rPr>
        <w:t xml:space="preserve"> </w:t>
      </w:r>
      <w:r w:rsidRPr="00987BF7">
        <w:rPr>
          <w:rFonts w:ascii="Arial" w:hAnsi="Arial" w:cs="Arial"/>
          <w:b/>
          <w:color w:val="000000"/>
          <w:sz w:val="22"/>
          <w:szCs w:val="22"/>
          <w:lang w:val="en-US"/>
        </w:rPr>
        <w:t>promoted by Universitat Pompeu Fabra</w:t>
      </w:r>
      <w:r w:rsidRPr="00E64380">
        <w:rPr>
          <w:rFonts w:ascii="Arial" w:hAnsi="Arial" w:cs="Arial"/>
          <w:color w:val="000000"/>
          <w:sz w:val="22"/>
          <w:szCs w:val="22"/>
          <w:lang w:val="en-US"/>
        </w:rPr>
        <w:t xml:space="preserve"> (UPF, Barcelona, Spain) with the support of the Marie Curie</w:t>
      </w:r>
      <w:r>
        <w:rPr>
          <w:rFonts w:ascii="Arial" w:hAnsi="Arial" w:cs="Arial"/>
          <w:color w:val="000000"/>
          <w:sz w:val="22"/>
          <w:szCs w:val="22"/>
          <w:lang w:val="en-US"/>
        </w:rPr>
        <w:t xml:space="preserve"> </w:t>
      </w:r>
      <w:r w:rsidRPr="00E64380">
        <w:rPr>
          <w:rFonts w:ascii="Arial" w:hAnsi="Arial" w:cs="Arial"/>
          <w:color w:val="000000"/>
          <w:sz w:val="22"/>
          <w:szCs w:val="22"/>
          <w:lang w:val="en-US"/>
        </w:rPr>
        <w:t>COFUND</w:t>
      </w:r>
      <w:r>
        <w:rPr>
          <w:rFonts w:ascii="Arial" w:hAnsi="Arial" w:cs="Arial"/>
          <w:color w:val="000000"/>
          <w:sz w:val="22"/>
          <w:szCs w:val="22"/>
          <w:lang w:val="en-US"/>
        </w:rPr>
        <w:t>,</w:t>
      </w:r>
      <w:r w:rsidRPr="00E64380">
        <w:rPr>
          <w:rFonts w:ascii="Arial" w:hAnsi="Arial" w:cs="Arial"/>
          <w:color w:val="000000"/>
          <w:sz w:val="22"/>
          <w:szCs w:val="22"/>
          <w:lang w:val="en-US"/>
        </w:rPr>
        <w:t xml:space="preserve"> </w:t>
      </w:r>
      <w:r>
        <w:rPr>
          <w:rFonts w:ascii="Arial" w:hAnsi="Arial" w:cs="Arial"/>
          <w:color w:val="000000"/>
          <w:sz w:val="22"/>
          <w:szCs w:val="22"/>
          <w:lang w:val="en-US"/>
        </w:rPr>
        <w:t>(</w:t>
      </w:r>
      <w:r w:rsidRPr="00E64380">
        <w:rPr>
          <w:rFonts w:ascii="Arial" w:hAnsi="Arial" w:cs="Arial"/>
          <w:color w:val="000000"/>
          <w:sz w:val="22"/>
          <w:szCs w:val="22"/>
          <w:lang w:val="en-US"/>
        </w:rPr>
        <w:t>7</w:t>
      </w:r>
      <w:r w:rsidRPr="00E64380">
        <w:rPr>
          <w:rFonts w:ascii="Arial" w:hAnsi="Arial" w:cs="Arial"/>
          <w:color w:val="000000"/>
          <w:sz w:val="22"/>
          <w:szCs w:val="22"/>
          <w:vertAlign w:val="superscript"/>
          <w:lang w:val="en-US"/>
        </w:rPr>
        <w:t>th</w:t>
      </w:r>
      <w:r w:rsidRPr="00E64380">
        <w:rPr>
          <w:rFonts w:ascii="Arial" w:hAnsi="Arial" w:cs="Arial"/>
          <w:color w:val="000000"/>
          <w:sz w:val="22"/>
          <w:szCs w:val="22"/>
          <w:lang w:val="en-US"/>
        </w:rPr>
        <w:t xml:space="preserve"> Framework </w:t>
      </w:r>
      <w:proofErr w:type="spellStart"/>
      <w:r>
        <w:rPr>
          <w:rFonts w:ascii="Arial" w:hAnsi="Arial" w:cs="Arial"/>
          <w:color w:val="000000"/>
          <w:sz w:val="22"/>
          <w:szCs w:val="22"/>
          <w:lang w:val="en-US"/>
        </w:rPr>
        <w:t>Programme</w:t>
      </w:r>
      <w:proofErr w:type="spellEnd"/>
      <w:r>
        <w:rPr>
          <w:rFonts w:ascii="Arial" w:hAnsi="Arial" w:cs="Arial"/>
          <w:color w:val="000000"/>
          <w:sz w:val="22"/>
          <w:szCs w:val="22"/>
          <w:lang w:val="en-US"/>
        </w:rPr>
        <w:t>)</w:t>
      </w:r>
      <w:r w:rsidRPr="00E64380">
        <w:rPr>
          <w:rFonts w:ascii="Arial" w:hAnsi="Arial" w:cs="Arial"/>
          <w:color w:val="000000"/>
          <w:sz w:val="22"/>
          <w:szCs w:val="22"/>
          <w:lang w:val="en-US"/>
        </w:rPr>
        <w:t xml:space="preserve"> aims</w:t>
      </w:r>
      <w:r>
        <w:rPr>
          <w:rFonts w:ascii="Arial" w:hAnsi="Arial" w:cs="Arial"/>
          <w:color w:val="000000"/>
          <w:sz w:val="22"/>
          <w:szCs w:val="22"/>
          <w:lang w:val="en-US"/>
        </w:rPr>
        <w:t xml:space="preserve"> at co-financing </w:t>
      </w:r>
      <w:r w:rsidRPr="00E64380">
        <w:rPr>
          <w:rFonts w:ascii="Arial" w:hAnsi="Arial" w:cs="Arial"/>
          <w:color w:val="000000"/>
          <w:sz w:val="22"/>
          <w:szCs w:val="22"/>
          <w:lang w:val="en-US"/>
        </w:rPr>
        <w:t xml:space="preserve">24 international fellowships through </w:t>
      </w:r>
      <w:r w:rsidRPr="006E3801">
        <w:rPr>
          <w:rFonts w:ascii="Arial" w:hAnsi="Arial" w:cs="Arial"/>
          <w:b/>
          <w:color w:val="000000"/>
          <w:sz w:val="22"/>
          <w:szCs w:val="22"/>
          <w:lang w:val="en-US"/>
        </w:rPr>
        <w:t>three competitive calls</w:t>
      </w:r>
      <w:r w:rsidRPr="00E64380">
        <w:rPr>
          <w:rFonts w:ascii="Arial" w:hAnsi="Arial" w:cs="Arial"/>
          <w:color w:val="000000"/>
          <w:sz w:val="22"/>
          <w:szCs w:val="22"/>
          <w:lang w:val="en-US"/>
        </w:rPr>
        <w:t xml:space="preserve">. This </w:t>
      </w:r>
      <w:proofErr w:type="spellStart"/>
      <w:r>
        <w:rPr>
          <w:rFonts w:ascii="Arial" w:hAnsi="Arial" w:cs="Arial"/>
          <w:color w:val="000000"/>
          <w:sz w:val="22"/>
          <w:szCs w:val="22"/>
          <w:lang w:val="en-US"/>
        </w:rPr>
        <w:t>programme</w:t>
      </w:r>
      <w:proofErr w:type="spellEnd"/>
      <w:r w:rsidRPr="00E64380">
        <w:rPr>
          <w:rFonts w:ascii="Arial" w:hAnsi="Arial" w:cs="Arial"/>
          <w:color w:val="000000"/>
          <w:sz w:val="22"/>
          <w:szCs w:val="22"/>
          <w:lang w:val="en-US"/>
        </w:rPr>
        <w:t xml:space="preserve"> </w:t>
      </w:r>
      <w:r w:rsidRPr="00E64380">
        <w:rPr>
          <w:rFonts w:ascii="Arial" w:hAnsi="Arial" w:cs="Arial"/>
          <w:bCs/>
          <w:color w:val="000000"/>
          <w:sz w:val="22"/>
          <w:szCs w:val="22"/>
          <w:lang w:val="en-US"/>
        </w:rPr>
        <w:t xml:space="preserve">addresses international researchers </w:t>
      </w:r>
      <w:r>
        <w:rPr>
          <w:rFonts w:ascii="Arial" w:hAnsi="Arial" w:cs="Arial"/>
          <w:bCs/>
          <w:color w:val="000000"/>
          <w:sz w:val="22"/>
          <w:szCs w:val="22"/>
          <w:lang w:val="en-US"/>
        </w:rPr>
        <w:t xml:space="preserve">in the fields of </w:t>
      </w:r>
      <w:r w:rsidRPr="00987BF7">
        <w:rPr>
          <w:rFonts w:ascii="Arial" w:hAnsi="Arial" w:cs="Arial"/>
          <w:b/>
          <w:bCs/>
          <w:color w:val="000000"/>
          <w:sz w:val="22"/>
          <w:szCs w:val="22"/>
          <w:lang w:val="en-US"/>
        </w:rPr>
        <w:t xml:space="preserve">Social Sciences and Humanities, Health and Life Sciences </w:t>
      </w:r>
      <w:r w:rsidRPr="00987BF7">
        <w:rPr>
          <w:rFonts w:ascii="Arial" w:hAnsi="Arial" w:cs="Arial"/>
          <w:bCs/>
          <w:color w:val="000000"/>
          <w:sz w:val="22"/>
          <w:szCs w:val="22"/>
          <w:lang w:val="en-US"/>
        </w:rPr>
        <w:t xml:space="preserve">and </w:t>
      </w:r>
      <w:r w:rsidRPr="00987BF7">
        <w:rPr>
          <w:rFonts w:ascii="Arial" w:hAnsi="Arial" w:cs="Arial"/>
          <w:b/>
          <w:bCs/>
          <w:color w:val="000000"/>
          <w:sz w:val="22"/>
          <w:szCs w:val="22"/>
          <w:lang w:val="en-US"/>
        </w:rPr>
        <w:t>Communication and Information Technologies</w:t>
      </w:r>
      <w:r>
        <w:rPr>
          <w:rFonts w:ascii="Arial" w:hAnsi="Arial" w:cs="Arial"/>
          <w:bCs/>
          <w:color w:val="000000"/>
          <w:sz w:val="22"/>
          <w:szCs w:val="22"/>
          <w:lang w:val="en-US"/>
        </w:rPr>
        <w:t xml:space="preserve"> and it </w:t>
      </w:r>
      <w:r w:rsidRPr="00E64380">
        <w:rPr>
          <w:rFonts w:ascii="Arial" w:hAnsi="Arial" w:cs="Arial"/>
          <w:bCs/>
          <w:color w:val="000000"/>
          <w:sz w:val="22"/>
          <w:szCs w:val="22"/>
          <w:lang w:val="en-US"/>
        </w:rPr>
        <w:t>offer</w:t>
      </w:r>
      <w:r>
        <w:rPr>
          <w:rFonts w:ascii="Arial" w:hAnsi="Arial" w:cs="Arial"/>
          <w:bCs/>
          <w:color w:val="000000"/>
          <w:sz w:val="22"/>
          <w:szCs w:val="22"/>
          <w:lang w:val="en-US"/>
        </w:rPr>
        <w:t>s</w:t>
      </w:r>
      <w:r w:rsidRPr="00E64380">
        <w:rPr>
          <w:rFonts w:ascii="Arial" w:hAnsi="Arial" w:cs="Arial"/>
          <w:bCs/>
          <w:color w:val="000000"/>
          <w:sz w:val="22"/>
          <w:szCs w:val="22"/>
          <w:lang w:val="en-US"/>
        </w:rPr>
        <w:t xml:space="preserve"> career development opportunities to junior postdoctora</w:t>
      </w:r>
      <w:r>
        <w:rPr>
          <w:rFonts w:ascii="Arial" w:hAnsi="Arial" w:cs="Arial"/>
          <w:bCs/>
          <w:color w:val="000000"/>
          <w:sz w:val="22"/>
          <w:szCs w:val="22"/>
          <w:lang w:val="en-US"/>
        </w:rPr>
        <w:t xml:space="preserve">l candidates of any nationality in a highly stimulating research environment. </w:t>
      </w:r>
      <w:proofErr w:type="spellStart"/>
      <w:r>
        <w:rPr>
          <w:rFonts w:ascii="Arial" w:hAnsi="Arial" w:cs="Arial"/>
          <w:color w:val="000000"/>
          <w:sz w:val="22"/>
          <w:szCs w:val="22"/>
          <w:lang w:val="en-US"/>
        </w:rPr>
        <w:t>UP</w:t>
      </w:r>
      <w:r w:rsidR="003E4F08">
        <w:rPr>
          <w:rFonts w:ascii="Arial" w:hAnsi="Arial" w:cs="Arial"/>
          <w:color w:val="000000"/>
          <w:sz w:val="22"/>
          <w:szCs w:val="22"/>
          <w:lang w:val="en-US"/>
        </w:rPr>
        <w:t>F</w:t>
      </w:r>
      <w:r>
        <w:rPr>
          <w:rFonts w:ascii="Arial" w:hAnsi="Arial" w:cs="Arial"/>
          <w:color w:val="000000"/>
          <w:sz w:val="22"/>
          <w:szCs w:val="22"/>
          <w:lang w:val="en-US"/>
        </w:rPr>
        <w:t>ellows</w:t>
      </w:r>
      <w:proofErr w:type="spellEnd"/>
      <w:r>
        <w:rPr>
          <w:rFonts w:ascii="Arial" w:hAnsi="Arial" w:cs="Arial"/>
          <w:color w:val="000000"/>
          <w:sz w:val="22"/>
          <w:szCs w:val="22"/>
          <w:lang w:val="en-US"/>
        </w:rPr>
        <w:t xml:space="preserve">’ beneficiaries have the privilege to </w:t>
      </w:r>
      <w:r w:rsidRPr="00E64380">
        <w:rPr>
          <w:rFonts w:ascii="Arial" w:hAnsi="Arial" w:cs="Arial"/>
          <w:color w:val="000000"/>
          <w:sz w:val="22"/>
          <w:szCs w:val="22"/>
          <w:lang w:val="en-US"/>
        </w:rPr>
        <w:t xml:space="preserve">join one of the most unique and dynamic research environments in Europe, Catalonia, where they </w:t>
      </w:r>
      <w:r w:rsidR="00645489">
        <w:rPr>
          <w:rFonts w:ascii="Arial" w:hAnsi="Arial" w:cs="Arial"/>
          <w:color w:val="000000"/>
          <w:sz w:val="22"/>
          <w:szCs w:val="22"/>
          <w:lang w:val="en-US"/>
        </w:rPr>
        <w:t>we</w:t>
      </w:r>
      <w:r>
        <w:rPr>
          <w:rFonts w:ascii="Arial" w:hAnsi="Arial" w:cs="Arial"/>
          <w:color w:val="000000"/>
          <w:sz w:val="22"/>
          <w:szCs w:val="22"/>
          <w:lang w:val="en-US"/>
        </w:rPr>
        <w:t>r</w:t>
      </w:r>
      <w:r w:rsidRPr="00E64380">
        <w:rPr>
          <w:rFonts w:ascii="Arial" w:hAnsi="Arial" w:cs="Arial"/>
          <w:color w:val="000000"/>
          <w:sz w:val="22"/>
          <w:szCs w:val="22"/>
          <w:lang w:val="en-US"/>
        </w:rPr>
        <w:t xml:space="preserve">e able to advance </w:t>
      </w:r>
      <w:r>
        <w:rPr>
          <w:rFonts w:ascii="Arial" w:hAnsi="Arial" w:cs="Arial"/>
          <w:color w:val="000000"/>
          <w:sz w:val="22"/>
          <w:szCs w:val="22"/>
          <w:lang w:val="en-US"/>
        </w:rPr>
        <w:t xml:space="preserve">in </w:t>
      </w:r>
      <w:r w:rsidRPr="00E64380">
        <w:rPr>
          <w:rFonts w:ascii="Arial" w:hAnsi="Arial" w:cs="Arial"/>
          <w:color w:val="000000"/>
          <w:sz w:val="22"/>
          <w:szCs w:val="22"/>
          <w:lang w:val="en-US"/>
        </w:rPr>
        <w:t xml:space="preserve">their research and </w:t>
      </w:r>
      <w:r>
        <w:rPr>
          <w:rFonts w:ascii="Arial" w:hAnsi="Arial" w:cs="Arial"/>
          <w:color w:val="000000"/>
          <w:sz w:val="22"/>
          <w:szCs w:val="22"/>
          <w:lang w:val="en-US"/>
        </w:rPr>
        <w:t xml:space="preserve">further develop their </w:t>
      </w:r>
      <w:r w:rsidRPr="00E64380">
        <w:rPr>
          <w:rFonts w:ascii="Arial" w:hAnsi="Arial" w:cs="Arial"/>
          <w:color w:val="000000"/>
          <w:sz w:val="22"/>
          <w:szCs w:val="22"/>
          <w:lang w:val="en-US"/>
        </w:rPr>
        <w:t xml:space="preserve">professional skills while taking advantage of a career development plan under the guidance of a </w:t>
      </w:r>
      <w:r>
        <w:rPr>
          <w:rFonts w:ascii="Arial" w:hAnsi="Arial" w:cs="Arial"/>
          <w:color w:val="000000"/>
          <w:sz w:val="22"/>
          <w:szCs w:val="22"/>
          <w:lang w:val="en-US"/>
        </w:rPr>
        <w:t xml:space="preserve">senior UPF </w:t>
      </w:r>
      <w:r w:rsidRPr="00E64380">
        <w:rPr>
          <w:rFonts w:ascii="Arial" w:hAnsi="Arial" w:cs="Arial"/>
          <w:color w:val="000000"/>
          <w:sz w:val="22"/>
          <w:szCs w:val="22"/>
          <w:lang w:val="en-US"/>
        </w:rPr>
        <w:t>scientific mentor.</w:t>
      </w:r>
      <w:r w:rsidRPr="00E64380">
        <w:rPr>
          <w:rFonts w:ascii="Arial" w:hAnsi="Arial" w:cs="Arial"/>
          <w:sz w:val="22"/>
          <w:szCs w:val="22"/>
          <w:lang w:val="en-US"/>
        </w:rPr>
        <w:t xml:space="preserve"> </w:t>
      </w:r>
    </w:p>
    <w:p w:rsidR="005852A5" w:rsidRDefault="005852A5" w:rsidP="005852A5">
      <w:pPr>
        <w:spacing w:after="120" w:line="276" w:lineRule="auto"/>
        <w:jc w:val="both"/>
        <w:rPr>
          <w:rFonts w:ascii="Arial" w:hAnsi="Arial" w:cs="Arial"/>
          <w:sz w:val="22"/>
          <w:szCs w:val="22"/>
          <w:lang w:val="en-US"/>
        </w:rPr>
      </w:pPr>
      <w:proofErr w:type="spellStart"/>
      <w:r>
        <w:rPr>
          <w:rFonts w:ascii="Arial" w:hAnsi="Arial" w:cs="Arial"/>
          <w:sz w:val="22"/>
          <w:szCs w:val="22"/>
          <w:lang w:val="en-US"/>
        </w:rPr>
        <w:t>UPFellows</w:t>
      </w:r>
      <w:proofErr w:type="spellEnd"/>
      <w:r>
        <w:rPr>
          <w:rFonts w:ascii="Arial" w:hAnsi="Arial" w:cs="Arial"/>
          <w:sz w:val="22"/>
          <w:szCs w:val="22"/>
          <w:lang w:val="en-US"/>
        </w:rPr>
        <w:t xml:space="preserve"> started on 1</w:t>
      </w:r>
      <w:r w:rsidRPr="005D59AD">
        <w:rPr>
          <w:rFonts w:ascii="Arial" w:hAnsi="Arial" w:cs="Arial"/>
          <w:sz w:val="22"/>
          <w:szCs w:val="22"/>
          <w:vertAlign w:val="superscript"/>
          <w:lang w:val="en-US"/>
        </w:rPr>
        <w:t>st</w:t>
      </w:r>
      <w:r>
        <w:rPr>
          <w:rFonts w:ascii="Arial" w:hAnsi="Arial" w:cs="Arial"/>
          <w:sz w:val="22"/>
          <w:szCs w:val="22"/>
          <w:lang w:val="en-US"/>
        </w:rPr>
        <w:t xml:space="preserve"> May 2013 with the launch of a</w:t>
      </w:r>
      <w:r w:rsidRPr="005D59AD">
        <w:rPr>
          <w:rFonts w:ascii="Arial" w:hAnsi="Arial" w:cs="Arial"/>
          <w:sz w:val="22"/>
          <w:szCs w:val="22"/>
          <w:lang w:val="en-US"/>
        </w:rPr>
        <w:t xml:space="preserve">n extensive advertising campaign covering different channels and tools (i.e. social networks, Portal </w:t>
      </w:r>
      <w:proofErr w:type="spellStart"/>
      <w:r w:rsidRPr="005D59AD">
        <w:rPr>
          <w:rFonts w:ascii="Arial" w:hAnsi="Arial" w:cs="Arial"/>
          <w:sz w:val="22"/>
          <w:szCs w:val="22"/>
          <w:lang w:val="en-US"/>
        </w:rPr>
        <w:t>Euraxess</w:t>
      </w:r>
      <w:proofErr w:type="spellEnd"/>
      <w:r w:rsidRPr="005D59AD">
        <w:rPr>
          <w:rFonts w:ascii="Arial" w:hAnsi="Arial" w:cs="Arial"/>
          <w:sz w:val="22"/>
          <w:szCs w:val="22"/>
          <w:lang w:val="en-US"/>
        </w:rPr>
        <w:t xml:space="preserve">, announcements in portals, Journals, etc.). </w:t>
      </w:r>
      <w:r w:rsidRPr="005D59AD">
        <w:rPr>
          <w:rFonts w:ascii="Arial" w:hAnsi="Arial" w:cs="Arial"/>
          <w:bCs/>
          <w:sz w:val="22"/>
          <w:szCs w:val="22"/>
          <w:lang w:val="en-US"/>
        </w:rPr>
        <w:t xml:space="preserve">For the launch of the </w:t>
      </w:r>
      <w:proofErr w:type="spellStart"/>
      <w:r w:rsidRPr="005D59AD">
        <w:rPr>
          <w:rFonts w:ascii="Arial" w:hAnsi="Arial" w:cs="Arial"/>
          <w:bCs/>
          <w:sz w:val="22"/>
          <w:szCs w:val="22"/>
          <w:lang w:val="en-US"/>
        </w:rPr>
        <w:t>UPFellows</w:t>
      </w:r>
      <w:proofErr w:type="spellEnd"/>
      <w:r w:rsidRPr="005D59AD">
        <w:rPr>
          <w:rFonts w:ascii="Arial" w:hAnsi="Arial" w:cs="Arial"/>
          <w:bCs/>
          <w:sz w:val="22"/>
          <w:szCs w:val="22"/>
          <w:lang w:val="en-US"/>
        </w:rPr>
        <w:t xml:space="preserve"> a </w:t>
      </w:r>
      <w:proofErr w:type="spellStart"/>
      <w:r w:rsidRPr="005D59AD">
        <w:rPr>
          <w:rFonts w:ascii="Arial" w:hAnsi="Arial" w:cs="Arial"/>
          <w:bCs/>
          <w:sz w:val="22"/>
          <w:szCs w:val="22"/>
          <w:lang w:val="en-US"/>
        </w:rPr>
        <w:t>programme</w:t>
      </w:r>
      <w:proofErr w:type="spellEnd"/>
      <w:r w:rsidRPr="005D59AD">
        <w:rPr>
          <w:rFonts w:ascii="Arial" w:hAnsi="Arial" w:cs="Arial"/>
          <w:bCs/>
          <w:sz w:val="22"/>
          <w:szCs w:val="22"/>
          <w:lang w:val="en-US"/>
        </w:rPr>
        <w:t xml:space="preserve"> web page </w:t>
      </w:r>
      <w:r w:rsidRPr="005D59AD">
        <w:rPr>
          <w:rFonts w:ascii="Arial" w:hAnsi="Arial" w:cs="Arial"/>
          <w:sz w:val="22"/>
          <w:szCs w:val="22"/>
          <w:lang w:val="en-US"/>
        </w:rPr>
        <w:t>(</w:t>
      </w:r>
      <w:hyperlink r:id="rId6" w:history="1">
        <w:r w:rsidRPr="005D59AD">
          <w:rPr>
            <w:rFonts w:ascii="Arial" w:hAnsi="Arial" w:cs="Arial"/>
            <w:sz w:val="22"/>
            <w:szCs w:val="22"/>
            <w:lang w:val="en-US"/>
          </w:rPr>
          <w:t>www.upf.edu/upfellows</w:t>
        </w:r>
      </w:hyperlink>
      <w:r w:rsidRPr="005D59AD">
        <w:rPr>
          <w:rFonts w:ascii="Arial" w:hAnsi="Arial" w:cs="Arial"/>
          <w:sz w:val="22"/>
          <w:szCs w:val="22"/>
          <w:lang w:val="en-US"/>
        </w:rPr>
        <w:t xml:space="preserve">) was created and a corporate brand (logo, banner, </w:t>
      </w:r>
      <w:proofErr w:type="gramStart"/>
      <w:r w:rsidRPr="005D59AD">
        <w:rPr>
          <w:rFonts w:ascii="Arial" w:hAnsi="Arial" w:cs="Arial"/>
          <w:sz w:val="22"/>
          <w:szCs w:val="22"/>
          <w:lang w:val="en-US"/>
        </w:rPr>
        <w:t>poster</w:t>
      </w:r>
      <w:proofErr w:type="gramEnd"/>
      <w:r w:rsidRPr="005D59AD">
        <w:rPr>
          <w:rFonts w:ascii="Arial" w:hAnsi="Arial" w:cs="Arial"/>
          <w:sz w:val="22"/>
          <w:szCs w:val="22"/>
          <w:lang w:val="en-US"/>
        </w:rPr>
        <w:t xml:space="preserve">) was developed which was very useful to identify and distinguish </w:t>
      </w:r>
      <w:proofErr w:type="spellStart"/>
      <w:r w:rsidRPr="005D59AD">
        <w:rPr>
          <w:rFonts w:ascii="Arial" w:hAnsi="Arial" w:cs="Arial"/>
          <w:sz w:val="22"/>
          <w:szCs w:val="22"/>
          <w:lang w:val="en-US"/>
        </w:rPr>
        <w:t>UPFellows</w:t>
      </w:r>
      <w:proofErr w:type="spellEnd"/>
      <w:r w:rsidRPr="005D59AD">
        <w:rPr>
          <w:rFonts w:ascii="Arial" w:hAnsi="Arial" w:cs="Arial"/>
          <w:sz w:val="22"/>
          <w:szCs w:val="22"/>
          <w:lang w:val="en-US"/>
        </w:rPr>
        <w:t xml:space="preserve"> from other similar </w:t>
      </w:r>
      <w:proofErr w:type="spellStart"/>
      <w:r w:rsidRPr="005D59AD">
        <w:rPr>
          <w:rFonts w:ascii="Arial" w:hAnsi="Arial" w:cs="Arial"/>
          <w:sz w:val="22"/>
          <w:szCs w:val="22"/>
          <w:lang w:val="en-US"/>
        </w:rPr>
        <w:t>programmes</w:t>
      </w:r>
      <w:proofErr w:type="spellEnd"/>
      <w:r w:rsidRPr="005D59AD">
        <w:rPr>
          <w:rFonts w:ascii="Arial" w:hAnsi="Arial" w:cs="Arial"/>
          <w:sz w:val="22"/>
          <w:szCs w:val="22"/>
          <w:lang w:val="en-US"/>
        </w:rPr>
        <w:t>.</w:t>
      </w:r>
      <w:r>
        <w:rPr>
          <w:rFonts w:ascii="Arial" w:hAnsi="Arial" w:cs="Arial"/>
          <w:sz w:val="22"/>
          <w:szCs w:val="22"/>
          <w:lang w:val="en-US"/>
        </w:rPr>
        <w:t xml:space="preserve"> </w:t>
      </w:r>
      <w:r w:rsidRPr="003B3870">
        <w:rPr>
          <w:rFonts w:ascii="Arial" w:hAnsi="Arial" w:cs="Arial"/>
          <w:sz w:val="22"/>
          <w:szCs w:val="22"/>
          <w:lang w:val="en-US" w:eastAsia="zh-CN"/>
        </w:rPr>
        <w:t xml:space="preserve">D3.1 </w:t>
      </w:r>
      <w:r w:rsidRPr="003B3870">
        <w:rPr>
          <w:rFonts w:ascii="Arial" w:hAnsi="Arial" w:cs="Arial"/>
          <w:sz w:val="22"/>
          <w:szCs w:val="22"/>
          <w:lang w:val="en-US"/>
        </w:rPr>
        <w:t xml:space="preserve">on dissemination of </w:t>
      </w:r>
      <w:proofErr w:type="spellStart"/>
      <w:r w:rsidRPr="003B3870">
        <w:rPr>
          <w:rFonts w:ascii="Arial" w:hAnsi="Arial" w:cs="Arial"/>
          <w:sz w:val="22"/>
          <w:szCs w:val="22"/>
          <w:lang w:val="en-US"/>
        </w:rPr>
        <w:t>programme</w:t>
      </w:r>
      <w:proofErr w:type="spellEnd"/>
      <w:r w:rsidRPr="003B3870">
        <w:rPr>
          <w:rFonts w:ascii="Arial" w:hAnsi="Arial" w:cs="Arial"/>
          <w:sz w:val="22"/>
          <w:szCs w:val="22"/>
          <w:lang w:val="en-US"/>
        </w:rPr>
        <w:t xml:space="preserve"> and calls: advertisement, Material and Strategy</w:t>
      </w:r>
      <w:r w:rsidRPr="00F86DDC">
        <w:rPr>
          <w:rFonts w:ascii="Arial" w:hAnsi="Arial" w:cs="Arial"/>
          <w:sz w:val="22"/>
          <w:szCs w:val="22"/>
          <w:lang w:val="en-US"/>
        </w:rPr>
        <w:t xml:space="preserve"> </w:t>
      </w:r>
      <w:r w:rsidRPr="003B3870">
        <w:rPr>
          <w:rFonts w:ascii="Arial" w:hAnsi="Arial" w:cs="Arial"/>
          <w:sz w:val="22"/>
          <w:szCs w:val="22"/>
          <w:lang w:val="en-US"/>
        </w:rPr>
        <w:t>summarizes the main work executed</w:t>
      </w:r>
      <w:r>
        <w:rPr>
          <w:rFonts w:ascii="Arial" w:hAnsi="Arial" w:cs="Arial"/>
          <w:sz w:val="22"/>
          <w:szCs w:val="22"/>
          <w:lang w:val="en-US"/>
        </w:rPr>
        <w:t xml:space="preserve">. One report </w:t>
      </w:r>
      <w:r w:rsidR="00213390">
        <w:rPr>
          <w:rFonts w:ascii="Arial" w:hAnsi="Arial" w:cs="Arial"/>
          <w:sz w:val="22"/>
          <w:szCs w:val="22"/>
          <w:lang w:val="en-US"/>
        </w:rPr>
        <w:t>wa</w:t>
      </w:r>
      <w:r>
        <w:rPr>
          <w:rFonts w:ascii="Arial" w:hAnsi="Arial" w:cs="Arial"/>
          <w:sz w:val="22"/>
          <w:szCs w:val="22"/>
          <w:lang w:val="en-US"/>
        </w:rPr>
        <w:t>s produced and available for each one of the three calls launched for the selection of the fellows.</w:t>
      </w:r>
    </w:p>
    <w:p w:rsidR="0021211E" w:rsidRPr="00D9604A" w:rsidRDefault="0021211E" w:rsidP="0021211E">
      <w:pPr>
        <w:pStyle w:val="Perdefecte"/>
        <w:spacing w:after="0" w:line="280" w:lineRule="atLeast"/>
        <w:jc w:val="both"/>
        <w:rPr>
          <w:rFonts w:ascii="Tahoma" w:hAnsi="Tahoma" w:cs="Tahoma"/>
          <w:lang w:val="en-US"/>
        </w:rPr>
      </w:pPr>
    </w:p>
    <w:p w:rsidR="0021211E" w:rsidRPr="00D9604A" w:rsidRDefault="0021211E" w:rsidP="0021211E">
      <w:pPr>
        <w:pStyle w:val="Perdefecte"/>
        <w:spacing w:after="120" w:line="280" w:lineRule="atLeast"/>
        <w:jc w:val="center"/>
        <w:rPr>
          <w:rFonts w:ascii="Tahoma" w:hAnsi="Tahoma" w:cs="Tahoma"/>
        </w:rPr>
      </w:pPr>
      <w:r w:rsidRPr="00D9604A">
        <w:rPr>
          <w:rFonts w:ascii="Tahoma" w:hAnsi="Tahoma" w:cs="Tahoma"/>
          <w:noProof/>
          <w:lang w:val="es-ES" w:eastAsia="es-ES"/>
        </w:rPr>
        <w:drawing>
          <wp:inline distT="0" distB="0" distL="0" distR="0">
            <wp:extent cx="2672392" cy="550545"/>
            <wp:effectExtent l="19050" t="0" r="0" b="0"/>
            <wp:docPr id="1" name="gráficos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alphaModFix/>
                      <a:lum/>
                    </a:blip>
                    <a:srcRect/>
                    <a:stretch>
                      <a:fillRect/>
                    </a:stretch>
                  </pic:blipFill>
                  <pic:spPr>
                    <a:xfrm>
                      <a:off x="0" y="0"/>
                      <a:ext cx="2673050" cy="550681"/>
                    </a:xfrm>
                    <a:prstGeom prst="rect">
                      <a:avLst/>
                    </a:prstGeom>
                    <a:noFill/>
                    <a:ln>
                      <a:noFill/>
                      <a:prstDash/>
                    </a:ln>
                  </pic:spPr>
                </pic:pic>
              </a:graphicData>
            </a:graphic>
          </wp:inline>
        </w:drawing>
      </w:r>
    </w:p>
    <w:p w:rsidR="0021211E" w:rsidRPr="003E4F08" w:rsidRDefault="003E4F08" w:rsidP="0021211E">
      <w:pPr>
        <w:pStyle w:val="Perdefecte"/>
        <w:spacing w:after="120" w:line="280" w:lineRule="atLeast"/>
        <w:jc w:val="center"/>
        <w:rPr>
          <w:rFonts w:ascii="Arial" w:hAnsi="Arial" w:cs="Arial"/>
          <w:lang w:val="en-US"/>
        </w:rPr>
      </w:pPr>
      <w:r w:rsidRPr="003E4F08">
        <w:rPr>
          <w:rFonts w:ascii="Arial" w:hAnsi="Arial" w:cs="Arial"/>
          <w:lang w:val="en-US"/>
        </w:rPr>
        <w:t xml:space="preserve">Fig.1. </w:t>
      </w:r>
      <w:r w:rsidR="0021211E" w:rsidRPr="003E4F08">
        <w:rPr>
          <w:rFonts w:ascii="Arial" w:hAnsi="Arial" w:cs="Arial"/>
          <w:lang w:val="en-US"/>
        </w:rPr>
        <w:t xml:space="preserve">Logo of the </w:t>
      </w:r>
      <w:proofErr w:type="spellStart"/>
      <w:r w:rsidR="0021211E" w:rsidRPr="003E4F08">
        <w:rPr>
          <w:rFonts w:ascii="Arial" w:hAnsi="Arial" w:cs="Arial"/>
          <w:lang w:val="en-US"/>
        </w:rPr>
        <w:t>UP</w:t>
      </w:r>
      <w:r w:rsidRPr="003E4F08">
        <w:rPr>
          <w:rFonts w:ascii="Arial" w:hAnsi="Arial" w:cs="Arial"/>
          <w:lang w:val="en-US"/>
        </w:rPr>
        <w:t>F</w:t>
      </w:r>
      <w:r w:rsidR="0021211E" w:rsidRPr="003E4F08">
        <w:rPr>
          <w:rFonts w:ascii="Arial" w:hAnsi="Arial" w:cs="Arial"/>
          <w:lang w:val="en-US"/>
        </w:rPr>
        <w:t>ellows</w:t>
      </w:r>
      <w:proofErr w:type="spellEnd"/>
      <w:r w:rsidR="0021211E" w:rsidRPr="003E4F08">
        <w:rPr>
          <w:rFonts w:ascii="Arial" w:hAnsi="Arial" w:cs="Arial"/>
          <w:lang w:val="en-US"/>
        </w:rPr>
        <w:t xml:space="preserve"> </w:t>
      </w:r>
      <w:proofErr w:type="spellStart"/>
      <w:r w:rsidR="0021211E" w:rsidRPr="003E4F08">
        <w:rPr>
          <w:rFonts w:ascii="Arial" w:hAnsi="Arial" w:cs="Arial"/>
          <w:lang w:val="en-US"/>
        </w:rPr>
        <w:t>programme</w:t>
      </w:r>
      <w:proofErr w:type="spellEnd"/>
    </w:p>
    <w:p w:rsidR="0021211E" w:rsidRPr="00D9604A" w:rsidRDefault="0021211E" w:rsidP="0021211E">
      <w:pPr>
        <w:pStyle w:val="Perdefecte"/>
        <w:spacing w:after="120" w:line="280" w:lineRule="atLeast"/>
        <w:jc w:val="center"/>
        <w:rPr>
          <w:rFonts w:ascii="Tahoma" w:hAnsi="Tahoma" w:cs="Tahoma"/>
          <w:lang w:val="en-US"/>
        </w:rPr>
      </w:pPr>
    </w:p>
    <w:p w:rsidR="0021211E" w:rsidRPr="00D9604A" w:rsidRDefault="0021211E" w:rsidP="0021211E">
      <w:pPr>
        <w:pStyle w:val="Perdefecte"/>
        <w:spacing w:after="120" w:line="280" w:lineRule="atLeast"/>
        <w:jc w:val="center"/>
        <w:rPr>
          <w:rFonts w:ascii="Tahoma" w:hAnsi="Tahoma" w:cs="Tahoma"/>
          <w:lang w:val="en-US"/>
        </w:rPr>
      </w:pPr>
      <w:r>
        <w:rPr>
          <w:rFonts w:ascii="Tahoma" w:hAnsi="Tahoma" w:cs="Tahoma"/>
          <w:noProof/>
          <w:lang w:val="es-ES" w:eastAsia="es-ES"/>
        </w:rPr>
        <w:drawing>
          <wp:inline distT="0" distB="0" distL="0" distR="0">
            <wp:extent cx="5400040" cy="692989"/>
            <wp:effectExtent l="19050" t="0" r="0" b="0"/>
            <wp:docPr id="2" name="Imagen 1" descr="P:\D_RECE\documents\EUROPA\COFUND\3rd CALL\PREPARACIÓ I DIFUSIÓ\MATERIAL GRÀFIC COFUND 3a\banner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D_RECE\documents\EUROPA\COFUND\3rd CALL\PREPARACIÓ I DIFUSIÓ\MATERIAL GRÀFIC COFUND 3a\banner final.jpg"/>
                    <pic:cNvPicPr>
                      <a:picLocks noChangeAspect="1" noChangeArrowheads="1"/>
                    </pic:cNvPicPr>
                  </pic:nvPicPr>
                  <pic:blipFill>
                    <a:blip r:embed="rId8" cstate="print"/>
                    <a:srcRect/>
                    <a:stretch>
                      <a:fillRect/>
                    </a:stretch>
                  </pic:blipFill>
                  <pic:spPr bwMode="auto">
                    <a:xfrm>
                      <a:off x="0" y="0"/>
                      <a:ext cx="5400040" cy="692989"/>
                    </a:xfrm>
                    <a:prstGeom prst="rect">
                      <a:avLst/>
                    </a:prstGeom>
                    <a:noFill/>
                    <a:ln w="9525">
                      <a:noFill/>
                      <a:miter lim="800000"/>
                      <a:headEnd/>
                      <a:tailEnd/>
                    </a:ln>
                  </pic:spPr>
                </pic:pic>
              </a:graphicData>
            </a:graphic>
          </wp:inline>
        </w:drawing>
      </w:r>
    </w:p>
    <w:p w:rsidR="0021211E" w:rsidRPr="003E4F08" w:rsidRDefault="003E4F08" w:rsidP="0021211E">
      <w:pPr>
        <w:pStyle w:val="Perdefecte"/>
        <w:spacing w:after="120" w:line="280" w:lineRule="atLeast"/>
        <w:jc w:val="center"/>
        <w:rPr>
          <w:rFonts w:ascii="Arial" w:hAnsi="Arial" w:cs="Arial"/>
          <w:lang w:val="en-US"/>
        </w:rPr>
      </w:pPr>
      <w:proofErr w:type="gramStart"/>
      <w:r w:rsidRPr="003E4F08">
        <w:rPr>
          <w:rFonts w:ascii="Arial" w:hAnsi="Arial" w:cs="Arial"/>
          <w:lang w:val="en-US"/>
        </w:rPr>
        <w:t>Fig. 2.</w:t>
      </w:r>
      <w:proofErr w:type="gramEnd"/>
      <w:r w:rsidRPr="003E4F08">
        <w:rPr>
          <w:rFonts w:ascii="Arial" w:hAnsi="Arial" w:cs="Arial"/>
          <w:lang w:val="en-US"/>
        </w:rPr>
        <w:t xml:space="preserve"> </w:t>
      </w:r>
      <w:r w:rsidR="0021211E" w:rsidRPr="003E4F08">
        <w:rPr>
          <w:rFonts w:ascii="Arial" w:hAnsi="Arial" w:cs="Arial"/>
          <w:lang w:val="en-US"/>
        </w:rPr>
        <w:t xml:space="preserve">Banner of the </w:t>
      </w:r>
      <w:proofErr w:type="spellStart"/>
      <w:r w:rsidR="0021211E" w:rsidRPr="003E4F08">
        <w:rPr>
          <w:rFonts w:ascii="Arial" w:hAnsi="Arial" w:cs="Arial"/>
          <w:lang w:val="en-US"/>
        </w:rPr>
        <w:t>UPFellows</w:t>
      </w:r>
      <w:proofErr w:type="spellEnd"/>
      <w:r w:rsidR="0021211E" w:rsidRPr="003E4F08">
        <w:rPr>
          <w:rFonts w:ascii="Arial" w:hAnsi="Arial" w:cs="Arial"/>
          <w:lang w:val="en-US"/>
        </w:rPr>
        <w:t xml:space="preserve"> </w:t>
      </w:r>
      <w:proofErr w:type="spellStart"/>
      <w:r w:rsidR="0021211E" w:rsidRPr="003E4F08">
        <w:rPr>
          <w:rFonts w:ascii="Arial" w:hAnsi="Arial" w:cs="Arial"/>
          <w:lang w:val="en-US"/>
        </w:rPr>
        <w:t>programme</w:t>
      </w:r>
      <w:proofErr w:type="spellEnd"/>
      <w:r w:rsidR="0021211E" w:rsidRPr="003E4F08">
        <w:rPr>
          <w:rFonts w:ascii="Arial" w:hAnsi="Arial" w:cs="Arial"/>
          <w:lang w:val="en-US"/>
        </w:rPr>
        <w:t xml:space="preserve"> for </w:t>
      </w:r>
      <w:r w:rsidRPr="003E4F08">
        <w:rPr>
          <w:rFonts w:ascii="Arial" w:hAnsi="Arial" w:cs="Arial"/>
          <w:lang w:val="en-US"/>
        </w:rPr>
        <w:t xml:space="preserve">the </w:t>
      </w:r>
      <w:r w:rsidR="0021211E" w:rsidRPr="003E4F08">
        <w:rPr>
          <w:rFonts w:ascii="Arial" w:hAnsi="Arial" w:cs="Arial"/>
          <w:lang w:val="en-US"/>
        </w:rPr>
        <w:t>Call</w:t>
      </w:r>
      <w:r w:rsidRPr="003E4F08">
        <w:rPr>
          <w:rFonts w:ascii="Arial" w:hAnsi="Arial" w:cs="Arial"/>
          <w:lang w:val="en-US"/>
        </w:rPr>
        <w:t>s for proposals</w:t>
      </w:r>
    </w:p>
    <w:p w:rsidR="005852A5" w:rsidRPr="0023630E" w:rsidRDefault="005852A5" w:rsidP="005852A5">
      <w:pPr>
        <w:spacing w:before="240" w:after="120" w:line="276" w:lineRule="auto"/>
        <w:jc w:val="both"/>
        <w:rPr>
          <w:rFonts w:ascii="Arial" w:hAnsi="Arial" w:cs="Arial"/>
          <w:bCs/>
          <w:sz w:val="22"/>
          <w:szCs w:val="22"/>
          <w:highlight w:val="yellow"/>
          <w:lang w:val="en-US"/>
        </w:rPr>
      </w:pPr>
      <w:r w:rsidRPr="005D59AD">
        <w:rPr>
          <w:rFonts w:ascii="Arial" w:hAnsi="Arial" w:cs="Arial"/>
          <w:sz w:val="22"/>
          <w:szCs w:val="22"/>
          <w:lang w:val="en-US"/>
        </w:rPr>
        <w:t>All actions were planned and carried out following the principles of transparency, publicity and equal of opportunities and in accordance with the commitment of UPF with the European Charter and Code of Conduct for the Recruitment of Researchers (UPF was awarded in April 2014 with the logo “HR Excellence in Research” which</w:t>
      </w:r>
      <w:r w:rsidRPr="005D59AD">
        <w:rPr>
          <w:rFonts w:ascii="Arial" w:hAnsi="Arial" w:cs="Arial"/>
          <w:sz w:val="22"/>
          <w:szCs w:val="22"/>
        </w:rPr>
        <w:t xml:space="preserve"> </w:t>
      </w:r>
      <w:proofErr w:type="spellStart"/>
      <w:r w:rsidRPr="005D59AD">
        <w:rPr>
          <w:rFonts w:ascii="Arial" w:hAnsi="Arial" w:cs="Arial"/>
          <w:sz w:val="22"/>
          <w:szCs w:val="22"/>
        </w:rPr>
        <w:t>identifies</w:t>
      </w:r>
      <w:proofErr w:type="spellEnd"/>
      <w:r w:rsidRPr="005D59AD">
        <w:rPr>
          <w:rFonts w:ascii="Arial" w:hAnsi="Arial" w:cs="Arial"/>
          <w:sz w:val="22"/>
          <w:szCs w:val="22"/>
        </w:rPr>
        <w:t xml:space="preserve"> UPF as </w:t>
      </w:r>
      <w:proofErr w:type="spellStart"/>
      <w:r w:rsidRPr="005D59AD">
        <w:rPr>
          <w:rFonts w:ascii="Arial" w:hAnsi="Arial" w:cs="Arial"/>
          <w:sz w:val="22"/>
          <w:szCs w:val="22"/>
        </w:rPr>
        <w:t>an</w:t>
      </w:r>
      <w:proofErr w:type="spellEnd"/>
      <w:r w:rsidRPr="005D59AD">
        <w:rPr>
          <w:rFonts w:ascii="Arial" w:hAnsi="Arial" w:cs="Arial"/>
          <w:sz w:val="22"/>
          <w:szCs w:val="22"/>
        </w:rPr>
        <w:t xml:space="preserve"> </w:t>
      </w:r>
      <w:proofErr w:type="spellStart"/>
      <w:r w:rsidRPr="005D59AD">
        <w:rPr>
          <w:rFonts w:ascii="Arial" w:hAnsi="Arial" w:cs="Arial"/>
          <w:sz w:val="22"/>
          <w:szCs w:val="22"/>
        </w:rPr>
        <w:t>institution</w:t>
      </w:r>
      <w:proofErr w:type="spellEnd"/>
      <w:r w:rsidRPr="005D59AD">
        <w:rPr>
          <w:rFonts w:ascii="Arial" w:hAnsi="Arial" w:cs="Arial"/>
          <w:sz w:val="22"/>
          <w:szCs w:val="22"/>
        </w:rPr>
        <w:t xml:space="preserve"> provider and </w:t>
      </w:r>
      <w:proofErr w:type="spellStart"/>
      <w:r w:rsidRPr="005D59AD">
        <w:rPr>
          <w:rFonts w:ascii="Arial" w:hAnsi="Arial" w:cs="Arial"/>
          <w:sz w:val="22"/>
          <w:szCs w:val="22"/>
        </w:rPr>
        <w:t>supporter</w:t>
      </w:r>
      <w:proofErr w:type="spellEnd"/>
      <w:r w:rsidRPr="005D59AD">
        <w:rPr>
          <w:rFonts w:ascii="Arial" w:hAnsi="Arial" w:cs="Arial"/>
          <w:sz w:val="22"/>
          <w:szCs w:val="22"/>
        </w:rPr>
        <w:t xml:space="preserve"> of a </w:t>
      </w:r>
      <w:proofErr w:type="spellStart"/>
      <w:r w:rsidRPr="005D59AD">
        <w:rPr>
          <w:rFonts w:ascii="Arial" w:hAnsi="Arial" w:cs="Arial"/>
          <w:sz w:val="22"/>
          <w:szCs w:val="22"/>
        </w:rPr>
        <w:t>stimulating</w:t>
      </w:r>
      <w:proofErr w:type="spellEnd"/>
      <w:r w:rsidRPr="005D59AD">
        <w:rPr>
          <w:rFonts w:ascii="Arial" w:hAnsi="Arial" w:cs="Arial"/>
          <w:sz w:val="22"/>
          <w:szCs w:val="22"/>
        </w:rPr>
        <w:t xml:space="preserve"> and </w:t>
      </w:r>
      <w:proofErr w:type="spellStart"/>
      <w:r w:rsidRPr="005D59AD">
        <w:rPr>
          <w:rFonts w:ascii="Arial" w:hAnsi="Arial" w:cs="Arial"/>
          <w:sz w:val="22"/>
          <w:szCs w:val="22"/>
        </w:rPr>
        <w:t>favourable</w:t>
      </w:r>
      <w:proofErr w:type="spellEnd"/>
      <w:r w:rsidRPr="005D59AD">
        <w:rPr>
          <w:rFonts w:ascii="Arial" w:hAnsi="Arial" w:cs="Arial"/>
          <w:sz w:val="22"/>
          <w:szCs w:val="22"/>
        </w:rPr>
        <w:t xml:space="preserve"> </w:t>
      </w:r>
      <w:proofErr w:type="spellStart"/>
      <w:r w:rsidRPr="005D59AD">
        <w:rPr>
          <w:rFonts w:ascii="Arial" w:hAnsi="Arial" w:cs="Arial"/>
          <w:sz w:val="22"/>
          <w:szCs w:val="22"/>
        </w:rPr>
        <w:t>working</w:t>
      </w:r>
      <w:proofErr w:type="spellEnd"/>
      <w:r w:rsidRPr="005D59AD">
        <w:rPr>
          <w:rFonts w:ascii="Arial" w:hAnsi="Arial" w:cs="Arial"/>
          <w:sz w:val="22"/>
          <w:szCs w:val="22"/>
        </w:rPr>
        <w:t xml:space="preserve"> </w:t>
      </w:r>
      <w:proofErr w:type="spellStart"/>
      <w:r w:rsidRPr="005D59AD">
        <w:rPr>
          <w:rFonts w:ascii="Arial" w:hAnsi="Arial" w:cs="Arial"/>
          <w:sz w:val="22"/>
          <w:szCs w:val="22"/>
        </w:rPr>
        <w:t>environment</w:t>
      </w:r>
      <w:proofErr w:type="spellEnd"/>
      <w:r w:rsidRPr="005D59AD">
        <w:rPr>
          <w:rFonts w:ascii="Arial" w:hAnsi="Arial" w:cs="Arial"/>
          <w:sz w:val="22"/>
          <w:szCs w:val="22"/>
        </w:rPr>
        <w:t>.</w:t>
      </w:r>
      <w:r w:rsidRPr="005D59AD">
        <w:rPr>
          <w:rFonts w:ascii="Arial" w:hAnsi="Arial" w:cs="Arial"/>
          <w:sz w:val="22"/>
          <w:szCs w:val="22"/>
          <w:lang w:val="en-US"/>
        </w:rPr>
        <w:t xml:space="preserve"> (</w:t>
      </w:r>
      <w:hyperlink r:id="rId9" w:history="1">
        <w:r w:rsidRPr="00056D0A">
          <w:rPr>
            <w:rStyle w:val="Hipervnculo"/>
            <w:rFonts w:ascii="Arial" w:hAnsi="Arial" w:cs="Arial"/>
            <w:sz w:val="22"/>
            <w:szCs w:val="22"/>
            <w:lang w:val="en-US"/>
          </w:rPr>
          <w:t>http://ec.europa.eu/euraxess/index.cfm/rights/</w:t>
        </w:r>
      </w:hyperlink>
      <w:r>
        <w:t xml:space="preserve">. </w:t>
      </w:r>
      <w:proofErr w:type="spellStart"/>
      <w:r w:rsidRPr="0023630E">
        <w:rPr>
          <w:rFonts w:ascii="Arial" w:hAnsi="Arial" w:cs="Arial"/>
          <w:sz w:val="22"/>
          <w:szCs w:val="22"/>
        </w:rPr>
        <w:t>This</w:t>
      </w:r>
      <w:proofErr w:type="spellEnd"/>
      <w:r w:rsidRPr="0023630E">
        <w:rPr>
          <w:rFonts w:ascii="Arial" w:hAnsi="Arial" w:cs="Arial"/>
          <w:sz w:val="22"/>
          <w:szCs w:val="22"/>
        </w:rPr>
        <w:t xml:space="preserve"> </w:t>
      </w:r>
      <w:proofErr w:type="spellStart"/>
      <w:r w:rsidRPr="0023630E">
        <w:rPr>
          <w:rFonts w:ascii="Arial" w:hAnsi="Arial" w:cs="Arial"/>
          <w:sz w:val="22"/>
          <w:szCs w:val="22"/>
        </w:rPr>
        <w:t>acknowledgment</w:t>
      </w:r>
      <w:proofErr w:type="spellEnd"/>
      <w:r w:rsidRPr="0023630E">
        <w:rPr>
          <w:rFonts w:ascii="Arial" w:hAnsi="Arial" w:cs="Arial"/>
          <w:sz w:val="22"/>
          <w:szCs w:val="22"/>
        </w:rPr>
        <w:t xml:space="preserve"> </w:t>
      </w:r>
      <w:proofErr w:type="spellStart"/>
      <w:r w:rsidRPr="0023630E">
        <w:rPr>
          <w:rFonts w:ascii="Arial" w:hAnsi="Arial" w:cs="Arial"/>
          <w:sz w:val="22"/>
          <w:szCs w:val="22"/>
        </w:rPr>
        <w:t>was</w:t>
      </w:r>
      <w:proofErr w:type="spellEnd"/>
      <w:r w:rsidRPr="0023630E">
        <w:rPr>
          <w:rFonts w:ascii="Arial" w:hAnsi="Arial" w:cs="Arial"/>
          <w:sz w:val="22"/>
          <w:szCs w:val="22"/>
        </w:rPr>
        <w:t xml:space="preserve"> </w:t>
      </w:r>
      <w:proofErr w:type="spellStart"/>
      <w:r w:rsidR="00213390">
        <w:rPr>
          <w:rFonts w:ascii="Arial" w:hAnsi="Arial" w:cs="Arial"/>
          <w:sz w:val="22"/>
          <w:szCs w:val="22"/>
        </w:rPr>
        <w:t>further</w:t>
      </w:r>
      <w:proofErr w:type="spellEnd"/>
      <w:r w:rsidR="00213390">
        <w:rPr>
          <w:rFonts w:ascii="Arial" w:hAnsi="Arial" w:cs="Arial"/>
          <w:sz w:val="22"/>
          <w:szCs w:val="22"/>
        </w:rPr>
        <w:t xml:space="preserve"> </w:t>
      </w:r>
      <w:proofErr w:type="spellStart"/>
      <w:r w:rsidRPr="0023630E">
        <w:rPr>
          <w:rFonts w:ascii="Arial" w:hAnsi="Arial" w:cs="Arial"/>
          <w:sz w:val="22"/>
          <w:szCs w:val="22"/>
        </w:rPr>
        <w:t>renewed</w:t>
      </w:r>
      <w:proofErr w:type="spellEnd"/>
      <w:r w:rsidR="00213390">
        <w:rPr>
          <w:rFonts w:ascii="Arial" w:hAnsi="Arial" w:cs="Arial"/>
          <w:sz w:val="22"/>
          <w:szCs w:val="22"/>
          <w:lang w:val="en-US"/>
        </w:rPr>
        <w:t>).</w:t>
      </w:r>
    </w:p>
    <w:p w:rsidR="005852A5" w:rsidRDefault="005852A5" w:rsidP="005852A5">
      <w:pPr>
        <w:spacing w:before="240" w:after="120" w:line="276" w:lineRule="auto"/>
        <w:jc w:val="both"/>
        <w:rPr>
          <w:rFonts w:ascii="Arial" w:hAnsi="Arial" w:cs="Arial"/>
          <w:sz w:val="22"/>
          <w:szCs w:val="22"/>
          <w:lang w:val="en-US"/>
        </w:rPr>
      </w:pPr>
      <w:r>
        <w:rPr>
          <w:rFonts w:ascii="Arial" w:hAnsi="Arial" w:cs="Arial"/>
          <w:color w:val="000000"/>
          <w:sz w:val="22"/>
          <w:szCs w:val="22"/>
          <w:lang w:val="en-US"/>
        </w:rPr>
        <w:lastRenderedPageBreak/>
        <w:t xml:space="preserve">The </w:t>
      </w:r>
      <w:proofErr w:type="spellStart"/>
      <w:r>
        <w:rPr>
          <w:rFonts w:ascii="Arial" w:hAnsi="Arial" w:cs="Arial"/>
          <w:color w:val="000000"/>
          <w:sz w:val="22"/>
          <w:szCs w:val="22"/>
          <w:lang w:val="en-US"/>
        </w:rPr>
        <w:t>UP</w:t>
      </w:r>
      <w:r w:rsidR="003E4F08">
        <w:rPr>
          <w:rFonts w:ascii="Arial" w:hAnsi="Arial" w:cs="Arial"/>
          <w:color w:val="000000"/>
          <w:sz w:val="22"/>
          <w:szCs w:val="22"/>
          <w:lang w:val="en-US"/>
        </w:rPr>
        <w:t>F</w:t>
      </w:r>
      <w:r>
        <w:rPr>
          <w:rFonts w:ascii="Arial" w:hAnsi="Arial" w:cs="Arial"/>
          <w:color w:val="000000"/>
          <w:sz w:val="22"/>
          <w:szCs w:val="22"/>
          <w:lang w:val="en-US"/>
        </w:rPr>
        <w:t>ellows</w:t>
      </w:r>
      <w:proofErr w:type="spellEnd"/>
      <w:r>
        <w:rPr>
          <w:rFonts w:ascii="Arial" w:hAnsi="Arial" w:cs="Arial"/>
          <w:color w:val="000000"/>
          <w:sz w:val="22"/>
          <w:szCs w:val="22"/>
          <w:lang w:val="en-US"/>
        </w:rPr>
        <w:t xml:space="preserve">’ </w:t>
      </w:r>
      <w:r w:rsidRPr="006E3801">
        <w:rPr>
          <w:rFonts w:ascii="Arial" w:hAnsi="Arial" w:cs="Arial"/>
          <w:b/>
          <w:color w:val="000000"/>
          <w:sz w:val="22"/>
          <w:szCs w:val="22"/>
          <w:lang w:val="en-US"/>
        </w:rPr>
        <w:t>first</w:t>
      </w:r>
      <w:r w:rsidRPr="006E3801">
        <w:rPr>
          <w:rFonts w:ascii="Arial" w:hAnsi="Arial" w:cs="Arial"/>
          <w:b/>
          <w:sz w:val="22"/>
          <w:szCs w:val="22"/>
          <w:lang w:val="en-US"/>
        </w:rPr>
        <w:t xml:space="preserve"> call </w:t>
      </w:r>
      <w:r w:rsidRPr="00E64380">
        <w:rPr>
          <w:rFonts w:ascii="Arial" w:hAnsi="Arial" w:cs="Arial"/>
          <w:sz w:val="22"/>
          <w:szCs w:val="22"/>
          <w:lang w:val="en-US"/>
        </w:rPr>
        <w:t>opened on May 1</w:t>
      </w:r>
      <w:r w:rsidRPr="00E64380">
        <w:rPr>
          <w:rFonts w:ascii="Arial" w:hAnsi="Arial" w:cs="Arial"/>
          <w:sz w:val="22"/>
          <w:szCs w:val="22"/>
          <w:vertAlign w:val="superscript"/>
          <w:lang w:val="en-US"/>
        </w:rPr>
        <w:t>st</w:t>
      </w:r>
      <w:r w:rsidRPr="00E64380">
        <w:rPr>
          <w:rFonts w:ascii="Arial" w:hAnsi="Arial" w:cs="Arial"/>
          <w:sz w:val="22"/>
          <w:szCs w:val="22"/>
          <w:lang w:val="en-US"/>
        </w:rPr>
        <w:t>, 2013 and closed on July 1</w:t>
      </w:r>
      <w:r w:rsidRPr="00E64380">
        <w:rPr>
          <w:rFonts w:ascii="Arial" w:hAnsi="Arial" w:cs="Arial"/>
          <w:sz w:val="22"/>
          <w:szCs w:val="22"/>
          <w:vertAlign w:val="superscript"/>
          <w:lang w:val="en-US"/>
        </w:rPr>
        <w:t>st</w:t>
      </w:r>
      <w:r>
        <w:rPr>
          <w:rFonts w:ascii="Arial" w:hAnsi="Arial" w:cs="Arial"/>
          <w:sz w:val="22"/>
          <w:szCs w:val="22"/>
          <w:vertAlign w:val="superscript"/>
          <w:lang w:val="en-US"/>
        </w:rPr>
        <w:t xml:space="preserve"> </w:t>
      </w:r>
      <w:r w:rsidRPr="00E64380">
        <w:rPr>
          <w:rFonts w:ascii="Arial" w:hAnsi="Arial" w:cs="Arial"/>
          <w:sz w:val="22"/>
          <w:szCs w:val="22"/>
          <w:lang w:val="en-US"/>
        </w:rPr>
        <w:t>2013</w:t>
      </w:r>
      <w:r>
        <w:rPr>
          <w:rFonts w:ascii="Arial" w:hAnsi="Arial" w:cs="Arial"/>
          <w:sz w:val="22"/>
          <w:szCs w:val="22"/>
          <w:lang w:val="en-US"/>
        </w:rPr>
        <w:t xml:space="preserve"> offering </w:t>
      </w:r>
      <w:r w:rsidRPr="00E64380">
        <w:rPr>
          <w:rFonts w:ascii="Arial" w:hAnsi="Arial" w:cs="Arial"/>
          <w:sz w:val="22"/>
          <w:szCs w:val="22"/>
          <w:lang w:val="en-US"/>
        </w:rPr>
        <w:t xml:space="preserve">12 </w:t>
      </w:r>
      <w:r>
        <w:rPr>
          <w:rFonts w:ascii="Arial" w:hAnsi="Arial" w:cs="Arial"/>
          <w:sz w:val="22"/>
          <w:szCs w:val="22"/>
          <w:lang w:val="en-US"/>
        </w:rPr>
        <w:t xml:space="preserve">postdoctoral </w:t>
      </w:r>
      <w:r w:rsidRPr="00E64380">
        <w:rPr>
          <w:rFonts w:ascii="Arial" w:hAnsi="Arial" w:cs="Arial"/>
          <w:sz w:val="22"/>
          <w:szCs w:val="22"/>
          <w:lang w:val="en-US"/>
        </w:rPr>
        <w:t>positions</w:t>
      </w:r>
      <w:r>
        <w:rPr>
          <w:rFonts w:ascii="Arial" w:hAnsi="Arial" w:cs="Arial"/>
          <w:sz w:val="22"/>
          <w:szCs w:val="22"/>
          <w:lang w:val="en-US"/>
        </w:rPr>
        <w:t xml:space="preserve"> in the three above mentioned areas. A total amount of </w:t>
      </w:r>
      <w:r w:rsidRPr="00E64380">
        <w:rPr>
          <w:rFonts w:ascii="Arial" w:hAnsi="Arial" w:cs="Arial"/>
          <w:b/>
          <w:sz w:val="22"/>
          <w:szCs w:val="22"/>
          <w:lang w:val="en-US"/>
        </w:rPr>
        <w:t>184 applications</w:t>
      </w:r>
      <w:r>
        <w:rPr>
          <w:rFonts w:ascii="Arial" w:hAnsi="Arial" w:cs="Arial"/>
          <w:b/>
          <w:sz w:val="22"/>
          <w:szCs w:val="22"/>
          <w:lang w:val="en-US"/>
        </w:rPr>
        <w:t xml:space="preserve"> </w:t>
      </w:r>
      <w:r w:rsidRPr="000564AD">
        <w:rPr>
          <w:rFonts w:ascii="Arial" w:hAnsi="Arial" w:cs="Arial"/>
          <w:sz w:val="22"/>
          <w:szCs w:val="22"/>
          <w:lang w:val="en-US"/>
        </w:rPr>
        <w:t>w</w:t>
      </w:r>
      <w:r w:rsidR="00213390">
        <w:rPr>
          <w:rFonts w:ascii="Arial" w:hAnsi="Arial" w:cs="Arial"/>
          <w:sz w:val="22"/>
          <w:szCs w:val="22"/>
          <w:lang w:val="en-US"/>
        </w:rPr>
        <w:t>ere</w:t>
      </w:r>
      <w:r w:rsidRPr="000564AD">
        <w:rPr>
          <w:rFonts w:ascii="Arial" w:hAnsi="Arial" w:cs="Arial"/>
          <w:sz w:val="22"/>
          <w:szCs w:val="22"/>
          <w:lang w:val="en-US"/>
        </w:rPr>
        <w:t xml:space="preserve"> received</w:t>
      </w:r>
      <w:r>
        <w:rPr>
          <w:rFonts w:ascii="Arial" w:hAnsi="Arial" w:cs="Arial"/>
          <w:sz w:val="22"/>
          <w:szCs w:val="22"/>
          <w:lang w:val="en-US"/>
        </w:rPr>
        <w:t xml:space="preserve"> and </w:t>
      </w:r>
      <w:r w:rsidRPr="00077CAC">
        <w:rPr>
          <w:rFonts w:ascii="Arial" w:hAnsi="Arial" w:cs="Arial"/>
          <w:sz w:val="22"/>
          <w:szCs w:val="22"/>
          <w:lang w:val="en-US"/>
        </w:rPr>
        <w:t>149 met the eligibility requirements</w:t>
      </w:r>
      <w:r w:rsidRPr="00E64380">
        <w:rPr>
          <w:rFonts w:ascii="Arial" w:hAnsi="Arial" w:cs="Arial"/>
          <w:sz w:val="22"/>
          <w:szCs w:val="22"/>
          <w:lang w:val="en-US"/>
        </w:rPr>
        <w:t xml:space="preserve">. </w:t>
      </w:r>
      <w:r>
        <w:rPr>
          <w:rFonts w:ascii="Arial" w:hAnsi="Arial" w:cs="Arial"/>
          <w:sz w:val="22"/>
          <w:szCs w:val="22"/>
          <w:lang w:val="en-US"/>
        </w:rPr>
        <w:t>A</w:t>
      </w:r>
      <w:r w:rsidRPr="00E64380">
        <w:rPr>
          <w:rFonts w:ascii="Arial" w:hAnsi="Arial" w:cs="Arial"/>
          <w:sz w:val="22"/>
          <w:szCs w:val="22"/>
          <w:lang w:val="en-US"/>
        </w:rPr>
        <w:t xml:space="preserve">fter a very competitive and merit-based </w:t>
      </w:r>
      <w:r>
        <w:rPr>
          <w:rFonts w:ascii="Arial" w:hAnsi="Arial" w:cs="Arial"/>
          <w:sz w:val="22"/>
          <w:szCs w:val="22"/>
          <w:lang w:val="en-US"/>
        </w:rPr>
        <w:t xml:space="preserve">two-phase </w:t>
      </w:r>
      <w:r w:rsidRPr="00E64380">
        <w:rPr>
          <w:rFonts w:ascii="Arial" w:hAnsi="Arial" w:cs="Arial"/>
          <w:sz w:val="22"/>
          <w:szCs w:val="22"/>
          <w:lang w:val="en-US"/>
        </w:rPr>
        <w:t>process</w:t>
      </w:r>
      <w:r>
        <w:rPr>
          <w:rFonts w:ascii="Arial" w:hAnsi="Arial" w:cs="Arial"/>
          <w:sz w:val="22"/>
          <w:szCs w:val="22"/>
          <w:lang w:val="en-US"/>
        </w:rPr>
        <w:t xml:space="preserve"> </w:t>
      </w:r>
      <w:r w:rsidRPr="00E64380">
        <w:rPr>
          <w:rFonts w:ascii="Arial" w:hAnsi="Arial" w:cs="Arial"/>
          <w:b/>
          <w:sz w:val="22"/>
          <w:szCs w:val="22"/>
          <w:lang w:val="en-US"/>
        </w:rPr>
        <w:t xml:space="preserve">10 </w:t>
      </w:r>
      <w:r>
        <w:rPr>
          <w:rFonts w:ascii="Arial" w:hAnsi="Arial" w:cs="Arial"/>
          <w:b/>
          <w:sz w:val="22"/>
          <w:szCs w:val="22"/>
          <w:lang w:val="en-US"/>
        </w:rPr>
        <w:t xml:space="preserve">final </w:t>
      </w:r>
      <w:r w:rsidRPr="00E64380">
        <w:rPr>
          <w:rFonts w:ascii="Arial" w:hAnsi="Arial" w:cs="Arial"/>
          <w:b/>
          <w:sz w:val="22"/>
          <w:szCs w:val="22"/>
          <w:lang w:val="en-US"/>
        </w:rPr>
        <w:t>candidates were selected</w:t>
      </w:r>
      <w:r w:rsidRPr="00E64380">
        <w:rPr>
          <w:rFonts w:ascii="Arial" w:hAnsi="Arial" w:cs="Arial"/>
          <w:sz w:val="22"/>
          <w:szCs w:val="22"/>
          <w:lang w:val="en-US"/>
        </w:rPr>
        <w:t xml:space="preserve"> by the </w:t>
      </w:r>
      <w:r>
        <w:rPr>
          <w:rFonts w:ascii="Arial" w:hAnsi="Arial" w:cs="Arial"/>
          <w:sz w:val="22"/>
          <w:szCs w:val="22"/>
          <w:lang w:val="en-US"/>
        </w:rPr>
        <w:t xml:space="preserve">UPF </w:t>
      </w:r>
      <w:r w:rsidRPr="00E64380">
        <w:rPr>
          <w:rFonts w:ascii="Arial" w:hAnsi="Arial" w:cs="Arial"/>
          <w:sz w:val="22"/>
          <w:szCs w:val="22"/>
          <w:lang w:val="en-US"/>
        </w:rPr>
        <w:t>Selection</w:t>
      </w:r>
      <w:r>
        <w:rPr>
          <w:rFonts w:ascii="Arial" w:hAnsi="Arial" w:cs="Arial"/>
          <w:sz w:val="22"/>
          <w:szCs w:val="22"/>
          <w:lang w:val="en-US"/>
        </w:rPr>
        <w:t xml:space="preserve"> Committee</w:t>
      </w:r>
      <w:r w:rsidRPr="00E64380">
        <w:rPr>
          <w:rFonts w:ascii="Arial" w:hAnsi="Arial" w:cs="Arial"/>
          <w:sz w:val="22"/>
          <w:szCs w:val="22"/>
          <w:lang w:val="en-US"/>
        </w:rPr>
        <w:t xml:space="preserve">. </w:t>
      </w:r>
      <w:r>
        <w:rPr>
          <w:rFonts w:ascii="Arial" w:hAnsi="Arial" w:cs="Arial"/>
          <w:sz w:val="22"/>
          <w:szCs w:val="22"/>
          <w:lang w:val="en-US"/>
        </w:rPr>
        <w:t xml:space="preserve">All of them </w:t>
      </w:r>
      <w:r w:rsidRPr="00E64380">
        <w:rPr>
          <w:rFonts w:ascii="Arial" w:hAnsi="Arial" w:cs="Arial"/>
          <w:sz w:val="22"/>
          <w:szCs w:val="22"/>
          <w:lang w:val="en-US"/>
        </w:rPr>
        <w:t xml:space="preserve">accepted the fellowship and </w:t>
      </w:r>
      <w:r>
        <w:rPr>
          <w:rFonts w:ascii="Arial" w:hAnsi="Arial" w:cs="Arial"/>
          <w:sz w:val="22"/>
          <w:szCs w:val="22"/>
          <w:lang w:val="en-US"/>
        </w:rPr>
        <w:t>subsequently incorporated to the UPF.</w:t>
      </w:r>
    </w:p>
    <w:p w:rsidR="005852A5" w:rsidRDefault="005852A5" w:rsidP="005852A5">
      <w:pPr>
        <w:spacing w:before="240" w:after="120" w:line="276" w:lineRule="auto"/>
        <w:jc w:val="both"/>
        <w:rPr>
          <w:rFonts w:ascii="Arial" w:hAnsi="Arial" w:cs="Arial"/>
          <w:sz w:val="22"/>
          <w:szCs w:val="22"/>
          <w:lang w:val="en-US"/>
        </w:rPr>
      </w:pPr>
      <w:r>
        <w:rPr>
          <w:rFonts w:ascii="Arial" w:hAnsi="Arial" w:cs="Arial"/>
          <w:color w:val="000000"/>
          <w:sz w:val="22"/>
          <w:szCs w:val="22"/>
          <w:lang w:val="en-US"/>
        </w:rPr>
        <w:t xml:space="preserve">The </w:t>
      </w:r>
      <w:proofErr w:type="spellStart"/>
      <w:r>
        <w:rPr>
          <w:rFonts w:ascii="Arial" w:hAnsi="Arial" w:cs="Arial"/>
          <w:color w:val="000000"/>
          <w:sz w:val="22"/>
          <w:szCs w:val="22"/>
          <w:lang w:val="en-US"/>
        </w:rPr>
        <w:t>UP</w:t>
      </w:r>
      <w:r w:rsidR="003E4F08">
        <w:rPr>
          <w:rFonts w:ascii="Arial" w:hAnsi="Arial" w:cs="Arial"/>
          <w:color w:val="000000"/>
          <w:sz w:val="22"/>
          <w:szCs w:val="22"/>
          <w:lang w:val="en-US"/>
        </w:rPr>
        <w:t>F</w:t>
      </w:r>
      <w:r>
        <w:rPr>
          <w:rFonts w:ascii="Arial" w:hAnsi="Arial" w:cs="Arial"/>
          <w:color w:val="000000"/>
          <w:sz w:val="22"/>
          <w:szCs w:val="22"/>
          <w:lang w:val="en-US"/>
        </w:rPr>
        <w:t>ellows</w:t>
      </w:r>
      <w:proofErr w:type="spellEnd"/>
      <w:r>
        <w:rPr>
          <w:rFonts w:ascii="Arial" w:hAnsi="Arial" w:cs="Arial"/>
          <w:color w:val="000000"/>
          <w:sz w:val="22"/>
          <w:szCs w:val="22"/>
          <w:lang w:val="en-US"/>
        </w:rPr>
        <w:t xml:space="preserve">’ </w:t>
      </w:r>
      <w:r w:rsidRPr="00CA4EED">
        <w:rPr>
          <w:rFonts w:ascii="Arial" w:hAnsi="Arial" w:cs="Arial"/>
          <w:b/>
          <w:color w:val="000000"/>
          <w:sz w:val="22"/>
          <w:szCs w:val="22"/>
          <w:lang w:val="en-US"/>
        </w:rPr>
        <w:t>second</w:t>
      </w:r>
      <w:r w:rsidRPr="006E3801">
        <w:rPr>
          <w:rFonts w:ascii="Arial" w:hAnsi="Arial" w:cs="Arial"/>
          <w:b/>
          <w:sz w:val="22"/>
          <w:szCs w:val="22"/>
          <w:lang w:val="en-US"/>
        </w:rPr>
        <w:t xml:space="preserve"> call </w:t>
      </w:r>
      <w:r w:rsidRPr="00E64380">
        <w:rPr>
          <w:rFonts w:ascii="Arial" w:hAnsi="Arial" w:cs="Arial"/>
          <w:sz w:val="22"/>
          <w:szCs w:val="22"/>
          <w:lang w:val="en-US"/>
        </w:rPr>
        <w:t xml:space="preserve">opened </w:t>
      </w:r>
      <w:r>
        <w:rPr>
          <w:rFonts w:ascii="Arial" w:hAnsi="Arial" w:cs="Arial"/>
          <w:sz w:val="22"/>
          <w:szCs w:val="22"/>
          <w:lang w:val="en-US"/>
        </w:rPr>
        <w:t xml:space="preserve">during the first week of March, 2014 offering 14 positions. A total amount of </w:t>
      </w:r>
      <w:r>
        <w:rPr>
          <w:rFonts w:ascii="Arial" w:hAnsi="Arial" w:cs="Arial"/>
          <w:b/>
          <w:sz w:val="22"/>
          <w:szCs w:val="22"/>
          <w:lang w:val="en-US"/>
        </w:rPr>
        <w:t>90</w:t>
      </w:r>
      <w:r w:rsidRPr="00E64380">
        <w:rPr>
          <w:rFonts w:ascii="Arial" w:hAnsi="Arial" w:cs="Arial"/>
          <w:b/>
          <w:sz w:val="22"/>
          <w:szCs w:val="22"/>
          <w:lang w:val="en-US"/>
        </w:rPr>
        <w:t xml:space="preserve"> applications</w:t>
      </w:r>
      <w:r>
        <w:rPr>
          <w:rFonts w:ascii="Arial" w:hAnsi="Arial" w:cs="Arial"/>
          <w:b/>
          <w:sz w:val="22"/>
          <w:szCs w:val="22"/>
          <w:lang w:val="en-US"/>
        </w:rPr>
        <w:t xml:space="preserve"> </w:t>
      </w:r>
      <w:r>
        <w:rPr>
          <w:rFonts w:ascii="Arial" w:hAnsi="Arial" w:cs="Arial"/>
          <w:sz w:val="22"/>
          <w:szCs w:val="22"/>
          <w:lang w:val="en-US"/>
        </w:rPr>
        <w:t>were received and 75</w:t>
      </w:r>
      <w:r w:rsidRPr="00077CAC">
        <w:rPr>
          <w:rFonts w:ascii="Arial" w:hAnsi="Arial" w:cs="Arial"/>
          <w:sz w:val="22"/>
          <w:szCs w:val="22"/>
          <w:lang w:val="en-US"/>
        </w:rPr>
        <w:t xml:space="preserve"> </w:t>
      </w:r>
      <w:r>
        <w:rPr>
          <w:rFonts w:ascii="Arial" w:hAnsi="Arial" w:cs="Arial"/>
          <w:sz w:val="22"/>
          <w:szCs w:val="22"/>
          <w:lang w:val="en-US"/>
        </w:rPr>
        <w:t xml:space="preserve">applications </w:t>
      </w:r>
      <w:r w:rsidRPr="00077CAC">
        <w:rPr>
          <w:rFonts w:ascii="Arial" w:hAnsi="Arial" w:cs="Arial"/>
          <w:sz w:val="22"/>
          <w:szCs w:val="22"/>
          <w:lang w:val="en-US"/>
        </w:rPr>
        <w:t>met the eligibility requirements</w:t>
      </w:r>
      <w:r w:rsidRPr="00E64380">
        <w:rPr>
          <w:rFonts w:ascii="Arial" w:hAnsi="Arial" w:cs="Arial"/>
          <w:sz w:val="22"/>
          <w:szCs w:val="22"/>
          <w:lang w:val="en-US"/>
        </w:rPr>
        <w:t xml:space="preserve">. </w:t>
      </w:r>
      <w:r>
        <w:rPr>
          <w:rFonts w:ascii="Arial" w:hAnsi="Arial" w:cs="Arial"/>
          <w:sz w:val="22"/>
          <w:szCs w:val="22"/>
          <w:lang w:val="en-US"/>
        </w:rPr>
        <w:t>T</w:t>
      </w:r>
      <w:r w:rsidRPr="00E64380">
        <w:rPr>
          <w:rFonts w:ascii="Arial" w:hAnsi="Arial" w:cs="Arial"/>
          <w:sz w:val="22"/>
          <w:szCs w:val="22"/>
          <w:lang w:val="en-US"/>
        </w:rPr>
        <w:t xml:space="preserve">he </w:t>
      </w:r>
      <w:r>
        <w:rPr>
          <w:rFonts w:ascii="Arial" w:hAnsi="Arial" w:cs="Arial"/>
          <w:sz w:val="22"/>
          <w:szCs w:val="22"/>
          <w:lang w:val="en-US"/>
        </w:rPr>
        <w:t xml:space="preserve">UPF </w:t>
      </w:r>
      <w:r w:rsidRPr="00E64380">
        <w:rPr>
          <w:rFonts w:ascii="Arial" w:hAnsi="Arial" w:cs="Arial"/>
          <w:sz w:val="22"/>
          <w:szCs w:val="22"/>
          <w:lang w:val="en-US"/>
        </w:rPr>
        <w:t>Selection</w:t>
      </w:r>
      <w:r>
        <w:rPr>
          <w:rFonts w:ascii="Arial" w:hAnsi="Arial" w:cs="Arial"/>
          <w:sz w:val="22"/>
          <w:szCs w:val="22"/>
          <w:lang w:val="en-US"/>
        </w:rPr>
        <w:t xml:space="preserve"> Committee selected </w:t>
      </w:r>
      <w:r w:rsidRPr="002F5CEB">
        <w:rPr>
          <w:rFonts w:ascii="Arial" w:hAnsi="Arial" w:cs="Arial"/>
          <w:b/>
          <w:sz w:val="22"/>
          <w:szCs w:val="22"/>
          <w:lang w:val="en-US"/>
        </w:rPr>
        <w:t xml:space="preserve">11 </w:t>
      </w:r>
      <w:r>
        <w:rPr>
          <w:rFonts w:ascii="Arial" w:hAnsi="Arial" w:cs="Arial"/>
          <w:b/>
          <w:sz w:val="22"/>
          <w:szCs w:val="22"/>
          <w:lang w:val="en-US"/>
        </w:rPr>
        <w:t xml:space="preserve">final </w:t>
      </w:r>
      <w:r w:rsidRPr="00E64380">
        <w:rPr>
          <w:rFonts w:ascii="Arial" w:hAnsi="Arial" w:cs="Arial"/>
          <w:b/>
          <w:sz w:val="22"/>
          <w:szCs w:val="22"/>
          <w:lang w:val="en-US"/>
        </w:rPr>
        <w:t>candidates</w:t>
      </w:r>
      <w:r>
        <w:rPr>
          <w:rFonts w:ascii="Arial" w:hAnsi="Arial" w:cs="Arial"/>
          <w:sz w:val="22"/>
          <w:szCs w:val="22"/>
          <w:lang w:val="en-US"/>
        </w:rPr>
        <w:t>.</w:t>
      </w:r>
      <w:r w:rsidRPr="00E64380">
        <w:rPr>
          <w:rFonts w:ascii="Arial" w:hAnsi="Arial" w:cs="Arial"/>
          <w:b/>
          <w:sz w:val="22"/>
          <w:szCs w:val="22"/>
          <w:lang w:val="en-US"/>
        </w:rPr>
        <w:t xml:space="preserve"> </w:t>
      </w:r>
      <w:r w:rsidRPr="00FE7949">
        <w:rPr>
          <w:rFonts w:ascii="Arial" w:hAnsi="Arial" w:cs="Arial"/>
          <w:sz w:val="22"/>
          <w:szCs w:val="22"/>
          <w:lang w:val="en-US"/>
        </w:rPr>
        <w:t xml:space="preserve">All of them but one </w:t>
      </w:r>
      <w:r>
        <w:rPr>
          <w:rFonts w:ascii="Arial" w:hAnsi="Arial" w:cs="Arial"/>
          <w:sz w:val="22"/>
          <w:szCs w:val="22"/>
          <w:lang w:val="en-US"/>
        </w:rPr>
        <w:t>(</w:t>
      </w:r>
      <w:r w:rsidRPr="00FE7949">
        <w:rPr>
          <w:rFonts w:ascii="Arial" w:hAnsi="Arial" w:cs="Arial"/>
          <w:sz w:val="22"/>
          <w:szCs w:val="22"/>
          <w:lang w:val="en-US"/>
        </w:rPr>
        <w:t>10 candidates</w:t>
      </w:r>
      <w:r>
        <w:rPr>
          <w:rFonts w:ascii="Arial" w:hAnsi="Arial" w:cs="Arial"/>
          <w:sz w:val="22"/>
          <w:szCs w:val="22"/>
          <w:lang w:val="en-US"/>
        </w:rPr>
        <w:t>) accepted the fellowship and incorporated to the UPF.</w:t>
      </w:r>
    </w:p>
    <w:p w:rsidR="005852A5" w:rsidRDefault="005852A5" w:rsidP="005852A5">
      <w:pPr>
        <w:spacing w:before="240" w:after="120" w:line="276" w:lineRule="auto"/>
        <w:jc w:val="both"/>
        <w:rPr>
          <w:rFonts w:ascii="Arial" w:hAnsi="Arial" w:cs="Arial"/>
          <w:sz w:val="22"/>
          <w:szCs w:val="22"/>
          <w:lang w:val="en-US"/>
        </w:rPr>
      </w:pPr>
      <w:r w:rsidRPr="004A7255">
        <w:rPr>
          <w:rFonts w:ascii="Arial" w:hAnsi="Arial" w:cs="Arial"/>
          <w:color w:val="000000"/>
          <w:sz w:val="22"/>
          <w:szCs w:val="22"/>
          <w:lang w:val="en-US"/>
        </w:rPr>
        <w:t xml:space="preserve">The </w:t>
      </w:r>
      <w:r w:rsidRPr="004A7255">
        <w:rPr>
          <w:rFonts w:ascii="Arial" w:hAnsi="Arial" w:cs="Arial"/>
          <w:b/>
          <w:color w:val="000000"/>
          <w:sz w:val="22"/>
          <w:szCs w:val="22"/>
          <w:lang w:val="en-US"/>
        </w:rPr>
        <w:t xml:space="preserve">third </w:t>
      </w:r>
      <w:r w:rsidRPr="004A7255">
        <w:rPr>
          <w:rFonts w:ascii="Arial" w:hAnsi="Arial" w:cs="Arial"/>
          <w:b/>
          <w:sz w:val="22"/>
          <w:szCs w:val="22"/>
          <w:lang w:val="en-US"/>
        </w:rPr>
        <w:t xml:space="preserve">call </w:t>
      </w:r>
      <w:r w:rsidRPr="004A7255">
        <w:rPr>
          <w:rFonts w:ascii="Arial" w:hAnsi="Arial" w:cs="Arial"/>
          <w:sz w:val="22"/>
          <w:szCs w:val="22"/>
          <w:lang w:val="en-US"/>
        </w:rPr>
        <w:t>opened on February 20</w:t>
      </w:r>
      <w:r w:rsidRPr="004A7255">
        <w:rPr>
          <w:rFonts w:ascii="Arial" w:hAnsi="Arial" w:cs="Arial"/>
          <w:sz w:val="22"/>
          <w:szCs w:val="22"/>
          <w:vertAlign w:val="superscript"/>
          <w:lang w:val="en-US"/>
        </w:rPr>
        <w:t xml:space="preserve">th, </w:t>
      </w:r>
      <w:r w:rsidRPr="004A7255">
        <w:rPr>
          <w:rFonts w:ascii="Arial" w:hAnsi="Arial" w:cs="Arial"/>
          <w:sz w:val="22"/>
          <w:szCs w:val="22"/>
          <w:lang w:val="en-US"/>
        </w:rPr>
        <w:t>2015</w:t>
      </w:r>
      <w:r w:rsidRPr="004A7255">
        <w:rPr>
          <w:rFonts w:ascii="Arial" w:hAnsi="Arial" w:cs="Arial"/>
          <w:b/>
          <w:sz w:val="22"/>
          <w:szCs w:val="22"/>
          <w:lang w:val="en-US"/>
        </w:rPr>
        <w:t xml:space="preserve"> </w:t>
      </w:r>
      <w:r w:rsidRPr="004A7255">
        <w:rPr>
          <w:rFonts w:ascii="Arial" w:hAnsi="Arial" w:cs="Arial"/>
          <w:sz w:val="22"/>
          <w:szCs w:val="22"/>
          <w:lang w:val="en-US"/>
        </w:rPr>
        <w:t>and</w:t>
      </w:r>
      <w:r w:rsidRPr="004A7255">
        <w:rPr>
          <w:rFonts w:ascii="Arial" w:hAnsi="Arial" w:cs="Arial"/>
          <w:b/>
          <w:sz w:val="22"/>
          <w:szCs w:val="22"/>
          <w:lang w:val="en-US"/>
        </w:rPr>
        <w:t xml:space="preserve"> </w:t>
      </w:r>
      <w:r w:rsidRPr="004A7255">
        <w:rPr>
          <w:rFonts w:ascii="Arial" w:hAnsi="Arial" w:cs="Arial"/>
          <w:sz w:val="22"/>
          <w:szCs w:val="22"/>
          <w:lang w:val="en-US"/>
        </w:rPr>
        <w:t>closed on April 20</w:t>
      </w:r>
      <w:r w:rsidRPr="004A7255">
        <w:rPr>
          <w:rFonts w:ascii="Arial" w:hAnsi="Arial" w:cs="Arial"/>
          <w:sz w:val="22"/>
          <w:szCs w:val="22"/>
          <w:vertAlign w:val="superscript"/>
          <w:lang w:val="en-US"/>
        </w:rPr>
        <w:t>th</w:t>
      </w:r>
      <w:r w:rsidRPr="004A7255">
        <w:rPr>
          <w:rFonts w:ascii="Arial" w:hAnsi="Arial" w:cs="Arial"/>
          <w:sz w:val="22"/>
          <w:szCs w:val="22"/>
          <w:lang w:val="en-US"/>
        </w:rPr>
        <w:t>, 2015. In this last call</w:t>
      </w:r>
      <w:r>
        <w:rPr>
          <w:rFonts w:ascii="Arial" w:hAnsi="Arial" w:cs="Arial"/>
          <w:sz w:val="22"/>
          <w:szCs w:val="22"/>
          <w:lang w:val="en-US"/>
        </w:rPr>
        <w:t>,</w:t>
      </w:r>
      <w:r w:rsidRPr="004A7255">
        <w:rPr>
          <w:rFonts w:ascii="Arial" w:hAnsi="Arial" w:cs="Arial"/>
          <w:sz w:val="22"/>
          <w:szCs w:val="22"/>
          <w:lang w:val="en-US"/>
        </w:rPr>
        <w:t xml:space="preserve"> 6 positions were advertised and a total of </w:t>
      </w:r>
      <w:r w:rsidRPr="004A7255">
        <w:rPr>
          <w:rFonts w:ascii="Arial" w:hAnsi="Arial" w:cs="Arial"/>
          <w:b/>
          <w:sz w:val="22"/>
          <w:szCs w:val="22"/>
          <w:lang w:val="en-US"/>
        </w:rPr>
        <w:t xml:space="preserve">145 applications </w:t>
      </w:r>
      <w:r w:rsidRPr="004A7255">
        <w:rPr>
          <w:rFonts w:ascii="Arial" w:hAnsi="Arial" w:cs="Arial"/>
          <w:sz w:val="22"/>
          <w:szCs w:val="22"/>
          <w:lang w:val="en-US"/>
        </w:rPr>
        <w:t>were received. 131 application</w:t>
      </w:r>
      <w:r>
        <w:rPr>
          <w:rFonts w:ascii="Arial" w:hAnsi="Arial" w:cs="Arial"/>
          <w:sz w:val="22"/>
          <w:szCs w:val="22"/>
          <w:lang w:val="en-US"/>
        </w:rPr>
        <w:t>s</w:t>
      </w:r>
      <w:r w:rsidRPr="004A7255">
        <w:rPr>
          <w:rFonts w:ascii="Arial" w:hAnsi="Arial" w:cs="Arial"/>
          <w:sz w:val="22"/>
          <w:szCs w:val="22"/>
          <w:lang w:val="en-US"/>
        </w:rPr>
        <w:t xml:space="preserve"> met the eligibility requirements. All places were covered and </w:t>
      </w:r>
      <w:r w:rsidRPr="005714BC">
        <w:rPr>
          <w:rFonts w:ascii="Arial" w:hAnsi="Arial" w:cs="Arial"/>
          <w:b/>
          <w:sz w:val="22"/>
          <w:szCs w:val="22"/>
          <w:lang w:val="en-US"/>
        </w:rPr>
        <w:t>6</w:t>
      </w:r>
      <w:r w:rsidRPr="004A7255">
        <w:rPr>
          <w:rFonts w:ascii="Arial" w:hAnsi="Arial" w:cs="Arial"/>
          <w:b/>
          <w:sz w:val="22"/>
          <w:szCs w:val="22"/>
          <w:lang w:val="en-US"/>
        </w:rPr>
        <w:t xml:space="preserve"> candidates</w:t>
      </w:r>
      <w:r w:rsidRPr="00E64380">
        <w:rPr>
          <w:rFonts w:ascii="Arial" w:hAnsi="Arial" w:cs="Arial"/>
          <w:b/>
          <w:sz w:val="22"/>
          <w:szCs w:val="22"/>
          <w:lang w:val="en-US"/>
        </w:rPr>
        <w:t xml:space="preserve"> were selected</w:t>
      </w:r>
      <w:r w:rsidRPr="00E64380">
        <w:rPr>
          <w:rFonts w:ascii="Arial" w:hAnsi="Arial" w:cs="Arial"/>
          <w:sz w:val="22"/>
          <w:szCs w:val="22"/>
          <w:lang w:val="en-US"/>
        </w:rPr>
        <w:t xml:space="preserve"> by the </w:t>
      </w:r>
      <w:r>
        <w:rPr>
          <w:rFonts w:ascii="Arial" w:hAnsi="Arial" w:cs="Arial"/>
          <w:sz w:val="22"/>
          <w:szCs w:val="22"/>
          <w:lang w:val="en-US"/>
        </w:rPr>
        <w:t xml:space="preserve">UPF </w:t>
      </w:r>
      <w:r w:rsidRPr="00E64380">
        <w:rPr>
          <w:rFonts w:ascii="Arial" w:hAnsi="Arial" w:cs="Arial"/>
          <w:sz w:val="22"/>
          <w:szCs w:val="22"/>
          <w:lang w:val="en-US"/>
        </w:rPr>
        <w:t>Selection</w:t>
      </w:r>
      <w:r>
        <w:rPr>
          <w:rFonts w:ascii="Arial" w:hAnsi="Arial" w:cs="Arial"/>
          <w:sz w:val="22"/>
          <w:szCs w:val="22"/>
          <w:lang w:val="en-US"/>
        </w:rPr>
        <w:t xml:space="preserve"> Committee</w:t>
      </w:r>
      <w:r w:rsidRPr="00E64380">
        <w:rPr>
          <w:rFonts w:ascii="Arial" w:hAnsi="Arial" w:cs="Arial"/>
          <w:sz w:val="22"/>
          <w:szCs w:val="22"/>
          <w:lang w:val="en-US"/>
        </w:rPr>
        <w:t xml:space="preserve">. </w:t>
      </w:r>
      <w:r>
        <w:rPr>
          <w:rFonts w:ascii="Arial" w:hAnsi="Arial" w:cs="Arial"/>
          <w:sz w:val="22"/>
          <w:szCs w:val="22"/>
          <w:lang w:val="en-US"/>
        </w:rPr>
        <w:t xml:space="preserve">All of them </w:t>
      </w:r>
      <w:r w:rsidRPr="00E64380">
        <w:rPr>
          <w:rFonts w:ascii="Arial" w:hAnsi="Arial" w:cs="Arial"/>
          <w:sz w:val="22"/>
          <w:szCs w:val="22"/>
          <w:lang w:val="en-US"/>
        </w:rPr>
        <w:t xml:space="preserve">accepted the fellowship and </w:t>
      </w:r>
      <w:r>
        <w:rPr>
          <w:rFonts w:ascii="Arial" w:hAnsi="Arial" w:cs="Arial"/>
          <w:sz w:val="22"/>
          <w:szCs w:val="22"/>
          <w:lang w:val="en-US"/>
        </w:rPr>
        <w:t>started their training at the UPF premises.</w:t>
      </w:r>
    </w:p>
    <w:p w:rsidR="005852A5" w:rsidRDefault="005852A5" w:rsidP="005852A5">
      <w:pPr>
        <w:spacing w:before="240" w:after="120" w:line="276" w:lineRule="auto"/>
        <w:jc w:val="both"/>
        <w:rPr>
          <w:rFonts w:ascii="Arial" w:hAnsi="Arial" w:cs="Arial"/>
          <w:sz w:val="22"/>
          <w:szCs w:val="22"/>
          <w:lang w:val="en-US"/>
        </w:rPr>
      </w:pPr>
      <w:r>
        <w:rPr>
          <w:rFonts w:ascii="Arial" w:hAnsi="Arial" w:cs="Arial"/>
          <w:sz w:val="22"/>
          <w:szCs w:val="22"/>
          <w:lang w:val="en-US"/>
        </w:rPr>
        <w:t>D2.1. Report on Evaluation and Selection process deliverable describes in detail the overall process carried</w:t>
      </w:r>
      <w:r w:rsidR="00872FC2">
        <w:rPr>
          <w:rFonts w:ascii="Arial" w:hAnsi="Arial" w:cs="Arial"/>
          <w:sz w:val="22"/>
          <w:szCs w:val="22"/>
          <w:lang w:val="en-US"/>
        </w:rPr>
        <w:t xml:space="preserve"> out</w:t>
      </w:r>
      <w:r>
        <w:rPr>
          <w:rFonts w:ascii="Arial" w:hAnsi="Arial" w:cs="Arial"/>
          <w:sz w:val="22"/>
          <w:szCs w:val="22"/>
          <w:lang w:val="en-US"/>
        </w:rPr>
        <w:t xml:space="preserve">. One report </w:t>
      </w:r>
      <w:r w:rsidR="00213390">
        <w:rPr>
          <w:rFonts w:ascii="Arial" w:hAnsi="Arial" w:cs="Arial"/>
          <w:sz w:val="22"/>
          <w:szCs w:val="22"/>
          <w:lang w:val="en-US"/>
        </w:rPr>
        <w:t>was</w:t>
      </w:r>
      <w:r>
        <w:rPr>
          <w:rFonts w:ascii="Arial" w:hAnsi="Arial" w:cs="Arial"/>
          <w:sz w:val="22"/>
          <w:szCs w:val="22"/>
          <w:lang w:val="en-US"/>
        </w:rPr>
        <w:t xml:space="preserve"> delivered for each call detailing both common issues and specific aspects for the calls (dates, names of the evaluators, etc.)</w:t>
      </w:r>
    </w:p>
    <w:p w:rsidR="005852A5" w:rsidRDefault="005852A5" w:rsidP="00F16AB2">
      <w:pPr>
        <w:autoSpaceDE w:val="0"/>
        <w:autoSpaceDN w:val="0"/>
        <w:adjustRightInd w:val="0"/>
        <w:spacing w:line="276" w:lineRule="auto"/>
        <w:jc w:val="both"/>
        <w:rPr>
          <w:rFonts w:ascii="Arial" w:hAnsi="Arial" w:cs="Arial"/>
          <w:sz w:val="22"/>
          <w:szCs w:val="22"/>
          <w:lang w:val="en-US"/>
        </w:rPr>
      </w:pPr>
      <w:r w:rsidRPr="00F16AB2">
        <w:rPr>
          <w:rFonts w:ascii="Arial" w:hAnsi="Arial" w:cs="Arial"/>
          <w:sz w:val="22"/>
          <w:szCs w:val="22"/>
          <w:lang w:val="en-US"/>
        </w:rPr>
        <w:t>The level of internationalization and the capacity of attracting non-Spanish candidates w</w:t>
      </w:r>
      <w:r w:rsidR="00213390">
        <w:rPr>
          <w:rFonts w:ascii="Arial" w:hAnsi="Arial" w:cs="Arial"/>
          <w:sz w:val="22"/>
          <w:szCs w:val="22"/>
          <w:lang w:val="en-US"/>
        </w:rPr>
        <w:t>ere</w:t>
      </w:r>
      <w:r w:rsidRPr="00F16AB2">
        <w:rPr>
          <w:rFonts w:ascii="Arial" w:hAnsi="Arial" w:cs="Arial"/>
          <w:sz w:val="22"/>
          <w:szCs w:val="22"/>
          <w:lang w:val="en-US"/>
        </w:rPr>
        <w:t xml:space="preserve"> very high as shown</w:t>
      </w:r>
      <w:r w:rsidR="00872FC2">
        <w:rPr>
          <w:rFonts w:ascii="Arial" w:hAnsi="Arial" w:cs="Arial"/>
          <w:sz w:val="22"/>
          <w:szCs w:val="22"/>
          <w:lang w:val="en-US"/>
        </w:rPr>
        <w:t xml:space="preserve"> below</w:t>
      </w:r>
      <w:r w:rsidRPr="00F16AB2">
        <w:rPr>
          <w:rFonts w:ascii="Arial" w:hAnsi="Arial" w:cs="Arial"/>
          <w:sz w:val="22"/>
          <w:szCs w:val="22"/>
          <w:lang w:val="en-US"/>
        </w:rPr>
        <w:t xml:space="preserve"> in the graphs for call 1</w:t>
      </w:r>
      <w:r w:rsidR="00F16AB2">
        <w:rPr>
          <w:rFonts w:ascii="Arial" w:hAnsi="Arial" w:cs="Arial"/>
          <w:sz w:val="22"/>
          <w:szCs w:val="22"/>
          <w:lang w:val="en-US"/>
        </w:rPr>
        <w:t>,</w:t>
      </w:r>
      <w:r w:rsidRPr="00F16AB2">
        <w:rPr>
          <w:rFonts w:ascii="Arial" w:hAnsi="Arial" w:cs="Arial"/>
          <w:sz w:val="22"/>
          <w:szCs w:val="22"/>
          <w:lang w:val="en-US"/>
        </w:rPr>
        <w:t xml:space="preserve"> call 2</w:t>
      </w:r>
      <w:r w:rsidR="00F16AB2">
        <w:rPr>
          <w:rFonts w:ascii="Arial" w:hAnsi="Arial" w:cs="Arial"/>
          <w:sz w:val="22"/>
          <w:szCs w:val="22"/>
          <w:lang w:val="en-US"/>
        </w:rPr>
        <w:t xml:space="preserve"> and call 3</w:t>
      </w:r>
      <w:r w:rsidR="00872FC2">
        <w:rPr>
          <w:rFonts w:ascii="Arial" w:hAnsi="Arial" w:cs="Arial"/>
          <w:sz w:val="22"/>
          <w:szCs w:val="22"/>
          <w:lang w:val="en-US"/>
        </w:rPr>
        <w:t>.</w:t>
      </w:r>
      <w:r w:rsidRPr="00F16AB2">
        <w:rPr>
          <w:rFonts w:ascii="Arial" w:hAnsi="Arial" w:cs="Arial"/>
          <w:sz w:val="22"/>
          <w:szCs w:val="22"/>
          <w:lang w:val="en-US"/>
        </w:rPr>
        <w:t xml:space="preserve"> </w:t>
      </w:r>
    </w:p>
    <w:p w:rsidR="00F41385" w:rsidRDefault="00F41385" w:rsidP="00F16AB2">
      <w:pPr>
        <w:spacing w:before="240" w:after="120" w:line="276" w:lineRule="auto"/>
        <w:jc w:val="both"/>
        <w:rPr>
          <w:rFonts w:ascii="Arial" w:hAnsi="Arial" w:cs="Arial"/>
          <w:sz w:val="22"/>
          <w:szCs w:val="22"/>
          <w:lang w:val="en-US"/>
        </w:rPr>
      </w:pPr>
    </w:p>
    <w:tbl>
      <w:tblPr>
        <w:tblStyle w:val="Tablaconcuadrcula"/>
        <w:tblW w:w="0" w:type="auto"/>
        <w:tblInd w:w="204" w:type="dxa"/>
        <w:tblLook w:val="04A0"/>
      </w:tblPr>
      <w:tblGrid>
        <w:gridCol w:w="4341"/>
        <w:gridCol w:w="4175"/>
      </w:tblGrid>
      <w:tr w:rsidR="00F41385" w:rsidTr="0014711C">
        <w:trPr>
          <w:trHeight w:val="3894"/>
        </w:trPr>
        <w:tc>
          <w:tcPr>
            <w:tcW w:w="0" w:type="auto"/>
          </w:tcPr>
          <w:p w:rsidR="00F41385" w:rsidRDefault="00F41385" w:rsidP="0014711C">
            <w:pPr>
              <w:spacing w:after="240"/>
              <w:jc w:val="both"/>
              <w:rPr>
                <w:rFonts w:ascii="Calibri" w:hAnsi="Calibri" w:cs="Calibri"/>
              </w:rPr>
            </w:pPr>
            <w:r w:rsidRPr="00BA1FD6">
              <w:rPr>
                <w:rFonts w:ascii="Calibri" w:hAnsi="Calibri" w:cs="Calibri"/>
                <w:noProof/>
                <w:lang w:val="es-ES"/>
              </w:rPr>
              <w:drawing>
                <wp:inline distT="0" distB="0" distL="0" distR="0">
                  <wp:extent cx="2322255" cy="2147978"/>
                  <wp:effectExtent l="19050" t="0" r="1845" b="0"/>
                  <wp:docPr id="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c>
          <w:tcPr>
            <w:tcW w:w="0" w:type="auto"/>
          </w:tcPr>
          <w:p w:rsidR="00F41385" w:rsidRDefault="00F41385" w:rsidP="0014711C">
            <w:pPr>
              <w:spacing w:after="240"/>
              <w:jc w:val="both"/>
              <w:rPr>
                <w:rFonts w:ascii="Calibri" w:hAnsi="Calibri" w:cs="Calibri"/>
              </w:rPr>
            </w:pPr>
            <w:r w:rsidRPr="00BD37F5">
              <w:rPr>
                <w:rFonts w:ascii="Calibri" w:hAnsi="Calibri" w:cs="Calibri"/>
                <w:noProof/>
                <w:lang w:val="es-ES"/>
              </w:rPr>
              <w:drawing>
                <wp:inline distT="0" distB="0" distL="0" distR="0">
                  <wp:extent cx="2590309" cy="2216989"/>
                  <wp:effectExtent l="19050" t="0" r="491" b="0"/>
                  <wp:docPr id="4"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c>
      </w:tr>
      <w:tr w:rsidR="00F41385" w:rsidTr="0014711C">
        <w:trPr>
          <w:trHeight w:val="3812"/>
        </w:trPr>
        <w:tc>
          <w:tcPr>
            <w:tcW w:w="0" w:type="auto"/>
          </w:tcPr>
          <w:p w:rsidR="00F41385" w:rsidRDefault="00F41385" w:rsidP="0014711C">
            <w:pPr>
              <w:spacing w:after="240"/>
              <w:jc w:val="both"/>
              <w:rPr>
                <w:rFonts w:ascii="Calibri" w:hAnsi="Calibri" w:cs="Calibri"/>
              </w:rPr>
            </w:pPr>
            <w:r w:rsidRPr="00C4714B">
              <w:rPr>
                <w:rFonts w:ascii="Calibri" w:hAnsi="Calibri" w:cs="Calibri"/>
                <w:noProof/>
                <w:lang w:val="es-ES"/>
              </w:rPr>
              <w:lastRenderedPageBreak/>
              <w:drawing>
                <wp:inline distT="0" distB="0" distL="0" distR="0">
                  <wp:extent cx="2577501" cy="2398143"/>
                  <wp:effectExtent l="19050" t="0" r="0" b="0"/>
                  <wp:docPr id="9"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c>
          <w:tcPr>
            <w:tcW w:w="0" w:type="auto"/>
          </w:tcPr>
          <w:p w:rsidR="00F41385" w:rsidRDefault="00F41385" w:rsidP="0014711C">
            <w:pPr>
              <w:spacing w:after="240"/>
              <w:jc w:val="both"/>
              <w:rPr>
                <w:rFonts w:ascii="Calibri" w:hAnsi="Calibri" w:cs="Calibri"/>
              </w:rPr>
            </w:pPr>
            <w:r w:rsidRPr="000970AA">
              <w:rPr>
                <w:rFonts w:ascii="Calibri" w:hAnsi="Calibri" w:cs="Calibri"/>
                <w:noProof/>
                <w:lang w:val="es-ES"/>
              </w:rPr>
              <w:drawing>
                <wp:inline distT="0" distB="0" distL="0" distR="0">
                  <wp:extent cx="2508490" cy="2441275"/>
                  <wp:effectExtent l="19050" t="0" r="6110" b="0"/>
                  <wp:docPr id="13"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c>
      </w:tr>
      <w:tr w:rsidR="0014711C" w:rsidTr="00CD4867">
        <w:trPr>
          <w:trHeight w:val="3983"/>
        </w:trPr>
        <w:tc>
          <w:tcPr>
            <w:tcW w:w="0" w:type="auto"/>
          </w:tcPr>
          <w:p w:rsidR="0014711C" w:rsidRPr="00C4714B" w:rsidRDefault="0014711C" w:rsidP="0014711C">
            <w:pPr>
              <w:spacing w:after="240"/>
              <w:jc w:val="both"/>
              <w:rPr>
                <w:rFonts w:ascii="Calibri" w:hAnsi="Calibri" w:cs="Calibri"/>
                <w:noProof/>
                <w:lang w:val="es-ES"/>
              </w:rPr>
            </w:pPr>
            <w:r w:rsidRPr="0014711C">
              <w:rPr>
                <w:rFonts w:ascii="Calibri" w:hAnsi="Calibri" w:cs="Calibri"/>
                <w:noProof/>
                <w:lang w:val="es-ES"/>
              </w:rPr>
              <w:drawing>
                <wp:inline distT="0" distB="0" distL="0" distR="0">
                  <wp:extent cx="2702452" cy="2475781"/>
                  <wp:effectExtent l="19050" t="0" r="2648" b="0"/>
                  <wp:docPr id="18"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c>
        <w:tc>
          <w:tcPr>
            <w:tcW w:w="0" w:type="auto"/>
          </w:tcPr>
          <w:p w:rsidR="0014711C" w:rsidRPr="000970AA" w:rsidRDefault="0014711C" w:rsidP="0014711C">
            <w:pPr>
              <w:spacing w:after="240"/>
              <w:jc w:val="both"/>
              <w:rPr>
                <w:rFonts w:ascii="Calibri" w:hAnsi="Calibri" w:cs="Calibri"/>
                <w:noProof/>
                <w:lang w:val="es-ES"/>
              </w:rPr>
            </w:pPr>
            <w:r w:rsidRPr="0014711C">
              <w:rPr>
                <w:rFonts w:ascii="Calibri" w:hAnsi="Calibri" w:cs="Calibri"/>
                <w:noProof/>
                <w:lang w:val="es-ES"/>
              </w:rPr>
              <w:drawing>
                <wp:inline distT="0" distB="0" distL="0" distR="0">
                  <wp:extent cx="2613804" cy="2587924"/>
                  <wp:effectExtent l="0" t="0" r="0" b="0"/>
                  <wp:docPr id="1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c>
      </w:tr>
    </w:tbl>
    <w:p w:rsidR="00F16AB2" w:rsidRDefault="00F16AB2" w:rsidP="00CD4867">
      <w:pPr>
        <w:shd w:val="clear" w:color="auto" w:fill="FFFFFF"/>
        <w:spacing w:before="240" w:line="276" w:lineRule="auto"/>
        <w:jc w:val="both"/>
        <w:rPr>
          <w:rFonts w:ascii="Arial" w:hAnsi="Arial" w:cs="Arial"/>
          <w:sz w:val="22"/>
          <w:szCs w:val="22"/>
        </w:rPr>
      </w:pPr>
      <w:r w:rsidRPr="00201843">
        <w:rPr>
          <w:rFonts w:ascii="Arial" w:hAnsi="Arial" w:cs="Arial"/>
          <w:sz w:val="22"/>
          <w:szCs w:val="22"/>
        </w:rPr>
        <w:t xml:space="preserve">In </w:t>
      </w:r>
      <w:proofErr w:type="spellStart"/>
      <w:r w:rsidRPr="00201843">
        <w:rPr>
          <w:rFonts w:ascii="Arial" w:hAnsi="Arial" w:cs="Arial"/>
          <w:sz w:val="22"/>
          <w:szCs w:val="22"/>
        </w:rPr>
        <w:t>terms</w:t>
      </w:r>
      <w:proofErr w:type="spellEnd"/>
      <w:r w:rsidRPr="00201843">
        <w:rPr>
          <w:rFonts w:ascii="Arial" w:hAnsi="Arial" w:cs="Arial"/>
          <w:sz w:val="22"/>
          <w:szCs w:val="22"/>
        </w:rPr>
        <w:t xml:space="preserve"> of </w:t>
      </w:r>
      <w:proofErr w:type="spellStart"/>
      <w:r w:rsidRPr="00201843">
        <w:rPr>
          <w:rFonts w:ascii="Arial" w:hAnsi="Arial" w:cs="Arial"/>
          <w:sz w:val="22"/>
          <w:szCs w:val="22"/>
        </w:rPr>
        <w:t>the</w:t>
      </w:r>
      <w:proofErr w:type="spellEnd"/>
      <w:r w:rsidRPr="00201843">
        <w:rPr>
          <w:rFonts w:ascii="Arial" w:hAnsi="Arial" w:cs="Arial"/>
          <w:sz w:val="22"/>
          <w:szCs w:val="22"/>
        </w:rPr>
        <w:t xml:space="preserve"> </w:t>
      </w:r>
      <w:proofErr w:type="spellStart"/>
      <w:r w:rsidRPr="00201843">
        <w:rPr>
          <w:rFonts w:ascii="Arial" w:hAnsi="Arial" w:cs="Arial"/>
          <w:sz w:val="22"/>
          <w:szCs w:val="22"/>
        </w:rPr>
        <w:t>programme</w:t>
      </w:r>
      <w:proofErr w:type="spellEnd"/>
      <w:r w:rsidRPr="00201843">
        <w:rPr>
          <w:rFonts w:ascii="Arial" w:hAnsi="Arial" w:cs="Arial"/>
          <w:sz w:val="22"/>
          <w:szCs w:val="22"/>
        </w:rPr>
        <w:t xml:space="preserve"> </w:t>
      </w:r>
      <w:proofErr w:type="spellStart"/>
      <w:r w:rsidRPr="00201843">
        <w:rPr>
          <w:rFonts w:ascii="Arial" w:hAnsi="Arial" w:cs="Arial"/>
          <w:sz w:val="22"/>
          <w:szCs w:val="22"/>
        </w:rPr>
        <w:t>impact</w:t>
      </w:r>
      <w:proofErr w:type="spellEnd"/>
      <w:r w:rsidRPr="00201843">
        <w:rPr>
          <w:rFonts w:ascii="Arial" w:hAnsi="Arial" w:cs="Arial"/>
          <w:sz w:val="22"/>
          <w:szCs w:val="22"/>
        </w:rPr>
        <w:t xml:space="preserve"> </w:t>
      </w:r>
      <w:proofErr w:type="spellStart"/>
      <w:r w:rsidRPr="00201843">
        <w:rPr>
          <w:rFonts w:ascii="Arial" w:hAnsi="Arial" w:cs="Arial"/>
          <w:sz w:val="22"/>
          <w:szCs w:val="22"/>
        </w:rPr>
        <w:t>the</w:t>
      </w:r>
      <w:proofErr w:type="spellEnd"/>
      <w:r w:rsidRPr="00201843">
        <w:rPr>
          <w:rFonts w:ascii="Arial" w:hAnsi="Arial" w:cs="Arial"/>
          <w:sz w:val="22"/>
          <w:szCs w:val="22"/>
        </w:rPr>
        <w:t xml:space="preserve"> </w:t>
      </w:r>
      <w:proofErr w:type="spellStart"/>
      <w:r w:rsidR="00872FC2">
        <w:rPr>
          <w:rFonts w:ascii="Arial" w:hAnsi="Arial" w:cs="Arial"/>
          <w:sz w:val="22"/>
          <w:szCs w:val="22"/>
        </w:rPr>
        <w:t>large</w:t>
      </w:r>
      <w:proofErr w:type="spellEnd"/>
      <w:r w:rsidRPr="00201843">
        <w:rPr>
          <w:rFonts w:ascii="Arial" w:hAnsi="Arial" w:cs="Arial"/>
          <w:sz w:val="22"/>
          <w:szCs w:val="22"/>
        </w:rPr>
        <w:t xml:space="preserve"> </w:t>
      </w:r>
      <w:proofErr w:type="spellStart"/>
      <w:r w:rsidRPr="00201843">
        <w:rPr>
          <w:rFonts w:ascii="Arial" w:hAnsi="Arial" w:cs="Arial"/>
          <w:sz w:val="22"/>
          <w:szCs w:val="22"/>
        </w:rPr>
        <w:t>number</w:t>
      </w:r>
      <w:proofErr w:type="spellEnd"/>
      <w:r w:rsidRPr="00201843">
        <w:rPr>
          <w:rFonts w:ascii="Arial" w:hAnsi="Arial" w:cs="Arial"/>
          <w:sz w:val="22"/>
          <w:szCs w:val="22"/>
        </w:rPr>
        <w:t xml:space="preserve"> </w:t>
      </w:r>
      <w:r>
        <w:rPr>
          <w:rFonts w:ascii="Arial" w:hAnsi="Arial" w:cs="Arial"/>
          <w:sz w:val="22"/>
          <w:szCs w:val="22"/>
        </w:rPr>
        <w:t>of</w:t>
      </w:r>
      <w:r w:rsidRPr="00201843">
        <w:rPr>
          <w:rFonts w:ascii="Arial" w:hAnsi="Arial" w:cs="Arial"/>
          <w:sz w:val="22"/>
          <w:szCs w:val="22"/>
        </w:rPr>
        <w:t xml:space="preserve"> </w:t>
      </w:r>
      <w:proofErr w:type="spellStart"/>
      <w:r w:rsidRPr="00201843">
        <w:rPr>
          <w:rFonts w:ascii="Arial" w:hAnsi="Arial" w:cs="Arial"/>
          <w:sz w:val="22"/>
          <w:szCs w:val="22"/>
        </w:rPr>
        <w:t>the</w:t>
      </w:r>
      <w:proofErr w:type="spellEnd"/>
      <w:r w:rsidRPr="00201843">
        <w:rPr>
          <w:rFonts w:ascii="Arial" w:hAnsi="Arial" w:cs="Arial"/>
          <w:sz w:val="22"/>
          <w:szCs w:val="22"/>
        </w:rPr>
        <w:t xml:space="preserve"> </w:t>
      </w:r>
      <w:proofErr w:type="spellStart"/>
      <w:r w:rsidR="0021211E">
        <w:rPr>
          <w:rFonts w:ascii="Arial" w:hAnsi="Arial" w:cs="Arial"/>
          <w:sz w:val="22"/>
          <w:szCs w:val="22"/>
        </w:rPr>
        <w:t>receiv</w:t>
      </w:r>
      <w:r w:rsidRPr="00201843">
        <w:rPr>
          <w:rFonts w:ascii="Arial" w:hAnsi="Arial" w:cs="Arial"/>
          <w:sz w:val="22"/>
          <w:szCs w:val="22"/>
        </w:rPr>
        <w:t>ed</w:t>
      </w:r>
      <w:proofErr w:type="spellEnd"/>
      <w:r w:rsidRPr="00201843">
        <w:rPr>
          <w:rFonts w:ascii="Arial" w:hAnsi="Arial" w:cs="Arial"/>
          <w:sz w:val="22"/>
          <w:szCs w:val="22"/>
        </w:rPr>
        <w:t xml:space="preserve"> </w:t>
      </w:r>
      <w:proofErr w:type="spellStart"/>
      <w:r w:rsidRPr="00201843">
        <w:rPr>
          <w:rFonts w:ascii="Arial" w:hAnsi="Arial" w:cs="Arial"/>
          <w:sz w:val="22"/>
          <w:szCs w:val="22"/>
        </w:rPr>
        <w:t>applications</w:t>
      </w:r>
      <w:proofErr w:type="spellEnd"/>
      <w:r w:rsidRPr="00201843">
        <w:rPr>
          <w:rFonts w:ascii="Arial" w:hAnsi="Arial" w:cs="Arial"/>
          <w:sz w:val="22"/>
          <w:szCs w:val="22"/>
        </w:rPr>
        <w:t xml:space="preserve"> shows </w:t>
      </w:r>
      <w:proofErr w:type="spellStart"/>
      <w:r w:rsidRPr="00201843">
        <w:rPr>
          <w:rFonts w:ascii="Arial" w:hAnsi="Arial" w:cs="Arial"/>
          <w:sz w:val="22"/>
          <w:szCs w:val="22"/>
        </w:rPr>
        <w:t>that</w:t>
      </w:r>
      <w:proofErr w:type="spellEnd"/>
      <w:r w:rsidRPr="00201843">
        <w:rPr>
          <w:rFonts w:ascii="Arial" w:hAnsi="Arial" w:cs="Arial"/>
          <w:sz w:val="22"/>
          <w:szCs w:val="22"/>
        </w:rPr>
        <w:t xml:space="preserve"> </w:t>
      </w:r>
      <w:r>
        <w:rPr>
          <w:rFonts w:ascii="Arial" w:hAnsi="Arial" w:cs="Arial"/>
          <w:sz w:val="22"/>
          <w:szCs w:val="22"/>
        </w:rPr>
        <w:t>a</w:t>
      </w:r>
      <w:r w:rsidRPr="00201843">
        <w:rPr>
          <w:rFonts w:ascii="Arial" w:hAnsi="Arial" w:cs="Arial"/>
          <w:sz w:val="22"/>
          <w:szCs w:val="22"/>
        </w:rPr>
        <w:t xml:space="preserve"> </w:t>
      </w:r>
      <w:proofErr w:type="spellStart"/>
      <w:r w:rsidRPr="00201843">
        <w:rPr>
          <w:rFonts w:ascii="Arial" w:hAnsi="Arial" w:cs="Arial"/>
          <w:sz w:val="22"/>
          <w:szCs w:val="22"/>
        </w:rPr>
        <w:t>very</w:t>
      </w:r>
      <w:proofErr w:type="spellEnd"/>
      <w:r w:rsidRPr="00201843">
        <w:rPr>
          <w:rFonts w:ascii="Arial" w:hAnsi="Arial" w:cs="Arial"/>
          <w:sz w:val="22"/>
          <w:szCs w:val="22"/>
        </w:rPr>
        <w:t xml:space="preserve"> </w:t>
      </w:r>
      <w:proofErr w:type="spellStart"/>
      <w:r w:rsidRPr="00201843">
        <w:rPr>
          <w:rFonts w:ascii="Arial" w:hAnsi="Arial" w:cs="Arial"/>
          <w:sz w:val="22"/>
          <w:szCs w:val="22"/>
        </w:rPr>
        <w:t>positive</w:t>
      </w:r>
      <w:proofErr w:type="spellEnd"/>
      <w:r w:rsidRPr="00201843">
        <w:rPr>
          <w:rFonts w:ascii="Arial" w:hAnsi="Arial" w:cs="Arial"/>
          <w:sz w:val="22"/>
          <w:szCs w:val="22"/>
        </w:rPr>
        <w:t xml:space="preserve"> </w:t>
      </w:r>
      <w:proofErr w:type="spellStart"/>
      <w:r>
        <w:rPr>
          <w:rFonts w:ascii="Arial" w:hAnsi="Arial" w:cs="Arial"/>
          <w:sz w:val="22"/>
          <w:szCs w:val="22"/>
        </w:rPr>
        <w:t>impact</w:t>
      </w:r>
      <w:proofErr w:type="spellEnd"/>
      <w:r>
        <w:rPr>
          <w:rFonts w:ascii="Arial" w:hAnsi="Arial" w:cs="Arial"/>
          <w:sz w:val="22"/>
          <w:szCs w:val="22"/>
        </w:rPr>
        <w:t xml:space="preserve"> </w:t>
      </w:r>
      <w:proofErr w:type="spellStart"/>
      <w:r>
        <w:rPr>
          <w:rFonts w:ascii="Arial" w:hAnsi="Arial" w:cs="Arial"/>
          <w:sz w:val="22"/>
          <w:szCs w:val="22"/>
        </w:rPr>
        <w:t>was</w:t>
      </w:r>
      <w:proofErr w:type="spellEnd"/>
      <w:r>
        <w:rPr>
          <w:rFonts w:ascii="Arial" w:hAnsi="Arial" w:cs="Arial"/>
          <w:sz w:val="22"/>
          <w:szCs w:val="22"/>
        </w:rPr>
        <w:t xml:space="preserve"> </w:t>
      </w:r>
      <w:proofErr w:type="spellStart"/>
      <w:r>
        <w:rPr>
          <w:rFonts w:ascii="Arial" w:hAnsi="Arial" w:cs="Arial"/>
          <w:sz w:val="22"/>
          <w:szCs w:val="22"/>
        </w:rPr>
        <w:t>achieved</w:t>
      </w:r>
      <w:proofErr w:type="spellEnd"/>
      <w:r>
        <w:rPr>
          <w:rFonts w:ascii="Arial" w:hAnsi="Arial" w:cs="Arial"/>
          <w:sz w:val="22"/>
          <w:szCs w:val="22"/>
        </w:rPr>
        <w:t xml:space="preserve"> </w:t>
      </w:r>
      <w:r w:rsidRPr="00201843">
        <w:rPr>
          <w:rFonts w:ascii="Arial" w:hAnsi="Arial" w:cs="Arial"/>
          <w:sz w:val="22"/>
          <w:szCs w:val="22"/>
        </w:rPr>
        <w:t xml:space="preserve">and </w:t>
      </w:r>
      <w:proofErr w:type="spellStart"/>
      <w:r w:rsidRPr="00201843">
        <w:rPr>
          <w:rFonts w:ascii="Arial" w:hAnsi="Arial" w:cs="Arial"/>
          <w:sz w:val="22"/>
          <w:szCs w:val="22"/>
        </w:rPr>
        <w:t>the</w:t>
      </w:r>
      <w:proofErr w:type="spellEnd"/>
      <w:r w:rsidRPr="00201843">
        <w:rPr>
          <w:rFonts w:ascii="Arial" w:hAnsi="Arial" w:cs="Arial"/>
          <w:sz w:val="22"/>
          <w:szCs w:val="22"/>
        </w:rPr>
        <w:t xml:space="preserve"> </w:t>
      </w:r>
      <w:proofErr w:type="spellStart"/>
      <w:r w:rsidRPr="00201843">
        <w:rPr>
          <w:rFonts w:ascii="Arial" w:hAnsi="Arial" w:cs="Arial"/>
          <w:sz w:val="22"/>
          <w:szCs w:val="22"/>
        </w:rPr>
        <w:t>programme</w:t>
      </w:r>
      <w:proofErr w:type="spellEnd"/>
      <w:r w:rsidRPr="00201843">
        <w:rPr>
          <w:rFonts w:ascii="Arial" w:hAnsi="Arial" w:cs="Arial"/>
          <w:sz w:val="22"/>
          <w:szCs w:val="22"/>
        </w:rPr>
        <w:t xml:space="preserve"> </w:t>
      </w:r>
      <w:proofErr w:type="spellStart"/>
      <w:r w:rsidRPr="00201843">
        <w:rPr>
          <w:rFonts w:ascii="Arial" w:hAnsi="Arial" w:cs="Arial"/>
          <w:sz w:val="22"/>
          <w:szCs w:val="22"/>
        </w:rPr>
        <w:t>had</w:t>
      </w:r>
      <w:proofErr w:type="spellEnd"/>
      <w:r w:rsidRPr="00201843">
        <w:rPr>
          <w:rFonts w:ascii="Arial" w:hAnsi="Arial" w:cs="Arial"/>
          <w:sz w:val="22"/>
          <w:szCs w:val="22"/>
        </w:rPr>
        <w:t xml:space="preserve"> a </w:t>
      </w:r>
      <w:proofErr w:type="spellStart"/>
      <w:r w:rsidRPr="00201843">
        <w:rPr>
          <w:rFonts w:ascii="Arial" w:hAnsi="Arial" w:cs="Arial"/>
          <w:sz w:val="22"/>
          <w:szCs w:val="22"/>
        </w:rPr>
        <w:t>great</w:t>
      </w:r>
      <w:proofErr w:type="spellEnd"/>
      <w:r w:rsidRPr="00201843">
        <w:rPr>
          <w:rFonts w:ascii="Arial" w:hAnsi="Arial" w:cs="Arial"/>
          <w:sz w:val="22"/>
          <w:szCs w:val="22"/>
        </w:rPr>
        <w:t xml:space="preserve"> </w:t>
      </w:r>
      <w:proofErr w:type="spellStart"/>
      <w:r w:rsidRPr="00201843">
        <w:rPr>
          <w:rFonts w:ascii="Arial" w:hAnsi="Arial" w:cs="Arial"/>
          <w:sz w:val="22"/>
          <w:szCs w:val="22"/>
        </w:rPr>
        <w:t>visibility</w:t>
      </w:r>
      <w:proofErr w:type="spellEnd"/>
      <w:r w:rsidRPr="00201843">
        <w:rPr>
          <w:rFonts w:ascii="Arial" w:hAnsi="Arial" w:cs="Arial"/>
          <w:sz w:val="22"/>
          <w:szCs w:val="22"/>
        </w:rPr>
        <w:t xml:space="preserve"> and </w:t>
      </w:r>
      <w:proofErr w:type="spellStart"/>
      <w:r w:rsidRPr="00201843">
        <w:rPr>
          <w:rFonts w:ascii="Arial" w:hAnsi="Arial" w:cs="Arial"/>
          <w:sz w:val="22"/>
          <w:szCs w:val="22"/>
        </w:rPr>
        <w:t>capacity</w:t>
      </w:r>
      <w:proofErr w:type="spellEnd"/>
      <w:r w:rsidRPr="00201843">
        <w:rPr>
          <w:rFonts w:ascii="Arial" w:hAnsi="Arial" w:cs="Arial"/>
          <w:sz w:val="22"/>
          <w:szCs w:val="22"/>
        </w:rPr>
        <w:t xml:space="preserve"> of </w:t>
      </w:r>
      <w:proofErr w:type="spellStart"/>
      <w:r w:rsidRPr="00201843">
        <w:rPr>
          <w:rFonts w:ascii="Arial" w:hAnsi="Arial" w:cs="Arial"/>
          <w:sz w:val="22"/>
          <w:szCs w:val="22"/>
        </w:rPr>
        <w:t>attraction</w:t>
      </w:r>
      <w:proofErr w:type="spellEnd"/>
      <w:r w:rsidRPr="00201843">
        <w:rPr>
          <w:rFonts w:ascii="Arial" w:hAnsi="Arial" w:cs="Arial"/>
          <w:sz w:val="22"/>
          <w:szCs w:val="22"/>
        </w:rPr>
        <w:t xml:space="preserve"> of candidates. In </w:t>
      </w:r>
      <w:proofErr w:type="spellStart"/>
      <w:r w:rsidRPr="00201843">
        <w:rPr>
          <w:rFonts w:ascii="Arial" w:hAnsi="Arial" w:cs="Arial"/>
          <w:sz w:val="22"/>
          <w:szCs w:val="22"/>
        </w:rPr>
        <w:t>this</w:t>
      </w:r>
      <w:proofErr w:type="spellEnd"/>
      <w:r w:rsidRPr="00201843">
        <w:rPr>
          <w:rFonts w:ascii="Arial" w:hAnsi="Arial" w:cs="Arial"/>
          <w:sz w:val="22"/>
          <w:szCs w:val="22"/>
        </w:rPr>
        <w:t xml:space="preserve"> sense, </w:t>
      </w:r>
      <w:proofErr w:type="spellStart"/>
      <w:r w:rsidRPr="00201843">
        <w:rPr>
          <w:rFonts w:ascii="Arial" w:hAnsi="Arial" w:cs="Arial"/>
          <w:sz w:val="22"/>
          <w:szCs w:val="22"/>
        </w:rPr>
        <w:t>it</w:t>
      </w:r>
      <w:proofErr w:type="spellEnd"/>
      <w:r w:rsidRPr="00201843">
        <w:rPr>
          <w:rFonts w:ascii="Arial" w:hAnsi="Arial" w:cs="Arial"/>
          <w:sz w:val="22"/>
          <w:szCs w:val="22"/>
        </w:rPr>
        <w:t xml:space="preserve"> is </w:t>
      </w:r>
      <w:proofErr w:type="spellStart"/>
      <w:r w:rsidRPr="00201843">
        <w:rPr>
          <w:rFonts w:ascii="Arial" w:hAnsi="Arial" w:cs="Arial"/>
          <w:sz w:val="22"/>
          <w:szCs w:val="22"/>
        </w:rPr>
        <w:t>worth</w:t>
      </w:r>
      <w:proofErr w:type="spellEnd"/>
      <w:r w:rsidRPr="00201843">
        <w:rPr>
          <w:rFonts w:ascii="Arial" w:hAnsi="Arial" w:cs="Arial"/>
          <w:sz w:val="22"/>
          <w:szCs w:val="22"/>
        </w:rPr>
        <w:t xml:space="preserve"> to </w:t>
      </w:r>
      <w:proofErr w:type="spellStart"/>
      <w:r w:rsidRPr="00201843">
        <w:rPr>
          <w:rFonts w:ascii="Arial" w:hAnsi="Arial" w:cs="Arial"/>
          <w:sz w:val="22"/>
          <w:szCs w:val="22"/>
        </w:rPr>
        <w:t>highlight</w:t>
      </w:r>
      <w:proofErr w:type="spellEnd"/>
      <w:r w:rsidRPr="00201843">
        <w:rPr>
          <w:rFonts w:ascii="Arial" w:hAnsi="Arial" w:cs="Arial"/>
          <w:sz w:val="22"/>
          <w:szCs w:val="22"/>
        </w:rPr>
        <w:t xml:space="preserve"> </w:t>
      </w:r>
      <w:proofErr w:type="spellStart"/>
      <w:r w:rsidRPr="00201843">
        <w:rPr>
          <w:rFonts w:ascii="Arial" w:hAnsi="Arial" w:cs="Arial"/>
          <w:sz w:val="22"/>
          <w:szCs w:val="22"/>
        </w:rPr>
        <w:t>that</w:t>
      </w:r>
      <w:proofErr w:type="spellEnd"/>
      <w:r w:rsidRPr="00201843">
        <w:rPr>
          <w:rFonts w:ascii="Arial" w:hAnsi="Arial" w:cs="Arial"/>
          <w:sz w:val="22"/>
          <w:szCs w:val="22"/>
        </w:rPr>
        <w:t xml:space="preserve"> </w:t>
      </w:r>
      <w:proofErr w:type="spellStart"/>
      <w:r>
        <w:rPr>
          <w:rFonts w:ascii="Arial" w:hAnsi="Arial" w:cs="Arial"/>
          <w:sz w:val="22"/>
          <w:szCs w:val="22"/>
        </w:rPr>
        <w:t>the</w:t>
      </w:r>
      <w:proofErr w:type="spellEnd"/>
      <w:r>
        <w:rPr>
          <w:rFonts w:ascii="Arial" w:hAnsi="Arial" w:cs="Arial"/>
          <w:sz w:val="22"/>
          <w:szCs w:val="22"/>
        </w:rPr>
        <w:t xml:space="preserve"> </w:t>
      </w:r>
      <w:proofErr w:type="spellStart"/>
      <w:r>
        <w:rPr>
          <w:rFonts w:ascii="Arial" w:hAnsi="Arial" w:cs="Arial"/>
          <w:sz w:val="22"/>
          <w:szCs w:val="22"/>
        </w:rPr>
        <w:t>intensive</w:t>
      </w:r>
      <w:proofErr w:type="spellEnd"/>
      <w:r>
        <w:rPr>
          <w:rFonts w:ascii="Arial" w:hAnsi="Arial" w:cs="Arial"/>
          <w:sz w:val="22"/>
          <w:szCs w:val="22"/>
        </w:rPr>
        <w:t xml:space="preserve"> </w:t>
      </w:r>
      <w:proofErr w:type="spellStart"/>
      <w:r>
        <w:rPr>
          <w:rFonts w:ascii="Arial" w:hAnsi="Arial" w:cs="Arial"/>
          <w:sz w:val="22"/>
          <w:szCs w:val="22"/>
        </w:rPr>
        <w:t>comunication</w:t>
      </w:r>
      <w:proofErr w:type="spellEnd"/>
      <w:r>
        <w:rPr>
          <w:rFonts w:ascii="Arial" w:hAnsi="Arial" w:cs="Arial"/>
          <w:sz w:val="22"/>
          <w:szCs w:val="22"/>
        </w:rPr>
        <w:t xml:space="preserve"> </w:t>
      </w:r>
      <w:proofErr w:type="spellStart"/>
      <w:r>
        <w:rPr>
          <w:rFonts w:ascii="Arial" w:hAnsi="Arial" w:cs="Arial"/>
          <w:sz w:val="22"/>
          <w:szCs w:val="22"/>
        </w:rPr>
        <w:t>campaign</w:t>
      </w:r>
      <w:proofErr w:type="spellEnd"/>
      <w:r>
        <w:rPr>
          <w:rFonts w:ascii="Arial" w:hAnsi="Arial" w:cs="Arial"/>
          <w:sz w:val="22"/>
          <w:szCs w:val="22"/>
        </w:rPr>
        <w:t xml:space="preserve"> </w:t>
      </w:r>
      <w:proofErr w:type="spellStart"/>
      <w:r>
        <w:rPr>
          <w:rFonts w:ascii="Arial" w:hAnsi="Arial" w:cs="Arial"/>
          <w:sz w:val="22"/>
          <w:szCs w:val="22"/>
        </w:rPr>
        <w:t>carried</w:t>
      </w:r>
      <w:proofErr w:type="spellEnd"/>
      <w:r>
        <w:rPr>
          <w:rFonts w:ascii="Arial" w:hAnsi="Arial" w:cs="Arial"/>
          <w:sz w:val="22"/>
          <w:szCs w:val="22"/>
        </w:rPr>
        <w:t xml:space="preserve"> out </w:t>
      </w:r>
      <w:proofErr w:type="spellStart"/>
      <w:r>
        <w:rPr>
          <w:rFonts w:ascii="Arial" w:hAnsi="Arial" w:cs="Arial"/>
          <w:sz w:val="22"/>
          <w:szCs w:val="22"/>
        </w:rPr>
        <w:t>contributed</w:t>
      </w:r>
      <w:proofErr w:type="spellEnd"/>
      <w:r>
        <w:rPr>
          <w:rFonts w:ascii="Arial" w:hAnsi="Arial" w:cs="Arial"/>
          <w:sz w:val="22"/>
          <w:szCs w:val="22"/>
        </w:rPr>
        <w:t xml:space="preserve"> to a </w:t>
      </w:r>
      <w:proofErr w:type="spellStart"/>
      <w:r>
        <w:rPr>
          <w:rFonts w:ascii="Arial" w:hAnsi="Arial" w:cs="Arial"/>
          <w:sz w:val="22"/>
          <w:szCs w:val="22"/>
        </w:rPr>
        <w:t>wide</w:t>
      </w:r>
      <w:proofErr w:type="spellEnd"/>
      <w:r w:rsidRPr="00201843">
        <w:rPr>
          <w:rFonts w:ascii="Arial" w:hAnsi="Arial" w:cs="Arial"/>
          <w:sz w:val="22"/>
          <w:szCs w:val="22"/>
        </w:rPr>
        <w:t xml:space="preserve"> </w:t>
      </w:r>
      <w:proofErr w:type="spellStart"/>
      <w:r w:rsidRPr="00201843">
        <w:rPr>
          <w:rFonts w:ascii="Arial" w:hAnsi="Arial" w:cs="Arial"/>
          <w:sz w:val="22"/>
          <w:szCs w:val="22"/>
        </w:rPr>
        <w:t>disseminating</w:t>
      </w:r>
      <w:proofErr w:type="spellEnd"/>
      <w:r w:rsidRPr="00201843">
        <w:rPr>
          <w:rFonts w:ascii="Arial" w:hAnsi="Arial" w:cs="Arial"/>
          <w:sz w:val="22"/>
          <w:szCs w:val="22"/>
        </w:rPr>
        <w:t xml:space="preserve"> </w:t>
      </w:r>
      <w:r>
        <w:rPr>
          <w:rFonts w:ascii="Arial" w:hAnsi="Arial" w:cs="Arial"/>
          <w:sz w:val="22"/>
          <w:szCs w:val="22"/>
        </w:rPr>
        <w:t xml:space="preserve">of </w:t>
      </w:r>
      <w:proofErr w:type="spellStart"/>
      <w:r w:rsidRPr="00201843">
        <w:rPr>
          <w:rFonts w:ascii="Arial" w:hAnsi="Arial" w:cs="Arial"/>
          <w:sz w:val="22"/>
          <w:szCs w:val="22"/>
        </w:rPr>
        <w:t>the</w:t>
      </w:r>
      <w:proofErr w:type="spellEnd"/>
      <w:r w:rsidRPr="00201843">
        <w:rPr>
          <w:rFonts w:ascii="Arial" w:hAnsi="Arial" w:cs="Arial"/>
          <w:sz w:val="22"/>
          <w:szCs w:val="22"/>
        </w:rPr>
        <w:t xml:space="preserve"> calls </w:t>
      </w:r>
      <w:r>
        <w:rPr>
          <w:rFonts w:ascii="Arial" w:hAnsi="Arial" w:cs="Arial"/>
          <w:sz w:val="22"/>
          <w:szCs w:val="22"/>
        </w:rPr>
        <w:t xml:space="preserve">at </w:t>
      </w:r>
      <w:proofErr w:type="spellStart"/>
      <w:r w:rsidRPr="00201843">
        <w:rPr>
          <w:rFonts w:ascii="Arial" w:hAnsi="Arial" w:cs="Arial"/>
          <w:sz w:val="22"/>
          <w:szCs w:val="22"/>
        </w:rPr>
        <w:t>international</w:t>
      </w:r>
      <w:proofErr w:type="spellEnd"/>
      <w:r>
        <w:rPr>
          <w:rFonts w:ascii="Arial" w:hAnsi="Arial" w:cs="Arial"/>
          <w:sz w:val="22"/>
          <w:szCs w:val="22"/>
        </w:rPr>
        <w:t xml:space="preserve"> </w:t>
      </w:r>
      <w:proofErr w:type="spellStart"/>
      <w:r>
        <w:rPr>
          <w:rFonts w:ascii="Arial" w:hAnsi="Arial" w:cs="Arial"/>
          <w:sz w:val="22"/>
          <w:szCs w:val="22"/>
        </w:rPr>
        <w:t>level</w:t>
      </w:r>
      <w:proofErr w:type="spellEnd"/>
      <w:r>
        <w:rPr>
          <w:rFonts w:ascii="Arial" w:hAnsi="Arial" w:cs="Arial"/>
          <w:sz w:val="22"/>
          <w:szCs w:val="22"/>
        </w:rPr>
        <w:t xml:space="preserve"> and to </w:t>
      </w:r>
      <w:proofErr w:type="spellStart"/>
      <w:r>
        <w:rPr>
          <w:rFonts w:ascii="Arial" w:hAnsi="Arial" w:cs="Arial"/>
          <w:sz w:val="22"/>
          <w:szCs w:val="22"/>
        </w:rPr>
        <w:t>create</w:t>
      </w:r>
      <w:proofErr w:type="spellEnd"/>
      <w:r>
        <w:rPr>
          <w:rFonts w:ascii="Arial" w:hAnsi="Arial" w:cs="Arial"/>
          <w:sz w:val="22"/>
          <w:szCs w:val="22"/>
        </w:rPr>
        <w:t xml:space="preserve"> </w:t>
      </w:r>
      <w:proofErr w:type="spellStart"/>
      <w:r>
        <w:rPr>
          <w:rFonts w:ascii="Arial" w:hAnsi="Arial" w:cs="Arial"/>
          <w:sz w:val="22"/>
          <w:szCs w:val="22"/>
        </w:rPr>
        <w:t>interest</w:t>
      </w:r>
      <w:proofErr w:type="spellEnd"/>
      <w:r>
        <w:rPr>
          <w:rFonts w:ascii="Arial" w:hAnsi="Arial" w:cs="Arial"/>
          <w:sz w:val="22"/>
          <w:szCs w:val="22"/>
        </w:rPr>
        <w:t xml:space="preserve"> </w:t>
      </w:r>
      <w:proofErr w:type="spellStart"/>
      <w:r>
        <w:rPr>
          <w:rFonts w:ascii="Arial" w:hAnsi="Arial" w:cs="Arial"/>
          <w:sz w:val="22"/>
          <w:szCs w:val="22"/>
        </w:rPr>
        <w:t>between</w:t>
      </w:r>
      <w:proofErr w:type="spellEnd"/>
      <w:r>
        <w:rPr>
          <w:rFonts w:ascii="Arial" w:hAnsi="Arial" w:cs="Arial"/>
          <w:sz w:val="22"/>
          <w:szCs w:val="22"/>
        </w:rPr>
        <w:t xml:space="preserve"> </w:t>
      </w:r>
      <w:proofErr w:type="spellStart"/>
      <w:r>
        <w:rPr>
          <w:rFonts w:ascii="Arial" w:hAnsi="Arial" w:cs="Arial"/>
          <w:sz w:val="22"/>
          <w:szCs w:val="22"/>
        </w:rPr>
        <w:t>outstanding</w:t>
      </w:r>
      <w:proofErr w:type="spellEnd"/>
      <w:r>
        <w:rPr>
          <w:rFonts w:ascii="Arial" w:hAnsi="Arial" w:cs="Arial"/>
          <w:sz w:val="22"/>
          <w:szCs w:val="22"/>
        </w:rPr>
        <w:t xml:space="preserve"> candidates</w:t>
      </w:r>
      <w:r w:rsidRPr="00201843">
        <w:rPr>
          <w:rFonts w:ascii="Arial" w:hAnsi="Arial" w:cs="Arial"/>
          <w:sz w:val="22"/>
          <w:szCs w:val="22"/>
        </w:rPr>
        <w:t>.</w:t>
      </w:r>
      <w:r>
        <w:rPr>
          <w:rFonts w:ascii="Arial" w:hAnsi="Arial" w:cs="Arial"/>
          <w:sz w:val="22"/>
          <w:szCs w:val="22"/>
        </w:rPr>
        <w:t xml:space="preserve"> </w:t>
      </w:r>
    </w:p>
    <w:p w:rsidR="00CD4867" w:rsidRDefault="00CD4867" w:rsidP="00CD4867">
      <w:pPr>
        <w:shd w:val="clear" w:color="auto" w:fill="FFFFFF"/>
        <w:spacing w:before="120" w:line="276" w:lineRule="auto"/>
        <w:jc w:val="both"/>
        <w:rPr>
          <w:rFonts w:ascii="Arial" w:hAnsi="Arial" w:cs="Arial"/>
          <w:sz w:val="22"/>
          <w:szCs w:val="22"/>
        </w:rPr>
      </w:pPr>
      <w:r>
        <w:rPr>
          <w:rFonts w:ascii="Arial" w:hAnsi="Arial" w:cs="Arial"/>
          <w:sz w:val="22"/>
          <w:szCs w:val="22"/>
        </w:rPr>
        <w:t xml:space="preserve">As far as </w:t>
      </w:r>
      <w:proofErr w:type="spellStart"/>
      <w:r>
        <w:rPr>
          <w:rFonts w:ascii="Arial" w:hAnsi="Arial" w:cs="Arial"/>
          <w:sz w:val="22"/>
          <w:szCs w:val="22"/>
        </w:rPr>
        <w:t>the</w:t>
      </w:r>
      <w:proofErr w:type="spellEnd"/>
      <w:r>
        <w:rPr>
          <w:rFonts w:ascii="Arial" w:hAnsi="Arial" w:cs="Arial"/>
          <w:sz w:val="22"/>
          <w:szCs w:val="22"/>
        </w:rPr>
        <w:t xml:space="preserve"> </w:t>
      </w:r>
      <w:proofErr w:type="spellStart"/>
      <w:r>
        <w:rPr>
          <w:rFonts w:ascii="Arial" w:hAnsi="Arial" w:cs="Arial"/>
          <w:sz w:val="22"/>
          <w:szCs w:val="22"/>
        </w:rPr>
        <w:t>impact</w:t>
      </w:r>
      <w:proofErr w:type="spellEnd"/>
      <w:r>
        <w:rPr>
          <w:rFonts w:ascii="Arial" w:hAnsi="Arial" w:cs="Arial"/>
          <w:sz w:val="22"/>
          <w:szCs w:val="22"/>
        </w:rPr>
        <w:t xml:space="preserve"> for </w:t>
      </w:r>
      <w:proofErr w:type="spellStart"/>
      <w:r>
        <w:rPr>
          <w:rFonts w:ascii="Arial" w:hAnsi="Arial" w:cs="Arial"/>
          <w:sz w:val="22"/>
          <w:szCs w:val="22"/>
        </w:rPr>
        <w:t>fellows</w:t>
      </w:r>
      <w:proofErr w:type="spellEnd"/>
      <w:r>
        <w:rPr>
          <w:rFonts w:ascii="Arial" w:hAnsi="Arial" w:cs="Arial"/>
          <w:sz w:val="22"/>
          <w:szCs w:val="22"/>
        </w:rPr>
        <w:t xml:space="preserve"> is </w:t>
      </w:r>
      <w:proofErr w:type="spellStart"/>
      <w:r>
        <w:rPr>
          <w:rFonts w:ascii="Arial" w:hAnsi="Arial" w:cs="Arial"/>
          <w:sz w:val="22"/>
          <w:szCs w:val="22"/>
        </w:rPr>
        <w:t>concerned</w:t>
      </w:r>
      <w:proofErr w:type="spellEnd"/>
      <w:r>
        <w:rPr>
          <w:rFonts w:ascii="Arial" w:hAnsi="Arial" w:cs="Arial"/>
          <w:sz w:val="22"/>
          <w:szCs w:val="22"/>
        </w:rPr>
        <w:t xml:space="preserve"> </w:t>
      </w:r>
      <w:proofErr w:type="spellStart"/>
      <w:r>
        <w:rPr>
          <w:rFonts w:ascii="Arial" w:hAnsi="Arial" w:cs="Arial"/>
          <w:sz w:val="22"/>
          <w:szCs w:val="22"/>
        </w:rPr>
        <w:t>it</w:t>
      </w:r>
      <w:proofErr w:type="spellEnd"/>
      <w:r>
        <w:rPr>
          <w:rFonts w:ascii="Arial" w:hAnsi="Arial" w:cs="Arial"/>
          <w:sz w:val="22"/>
          <w:szCs w:val="22"/>
        </w:rPr>
        <w:t xml:space="preserve"> is </w:t>
      </w:r>
      <w:proofErr w:type="spellStart"/>
      <w:r>
        <w:rPr>
          <w:rFonts w:ascii="Arial" w:hAnsi="Arial" w:cs="Arial"/>
          <w:sz w:val="22"/>
          <w:szCs w:val="22"/>
        </w:rPr>
        <w:t>remarkable</w:t>
      </w:r>
      <w:proofErr w:type="spellEnd"/>
      <w:r>
        <w:rPr>
          <w:rFonts w:ascii="Arial" w:hAnsi="Arial" w:cs="Arial"/>
          <w:sz w:val="22"/>
          <w:szCs w:val="22"/>
        </w:rPr>
        <w:t xml:space="preserve"> </w:t>
      </w:r>
      <w:proofErr w:type="spellStart"/>
      <w:r>
        <w:rPr>
          <w:rFonts w:ascii="Arial" w:hAnsi="Arial" w:cs="Arial"/>
          <w:sz w:val="22"/>
          <w:szCs w:val="22"/>
        </w:rPr>
        <w:t>that</w:t>
      </w:r>
      <w:proofErr w:type="spellEnd"/>
      <w:r>
        <w:rPr>
          <w:rFonts w:ascii="Arial" w:hAnsi="Arial" w:cs="Arial"/>
          <w:sz w:val="22"/>
          <w:szCs w:val="22"/>
        </w:rPr>
        <w:t xml:space="preserve"> most of </w:t>
      </w:r>
      <w:proofErr w:type="spellStart"/>
      <w:r>
        <w:rPr>
          <w:rFonts w:ascii="Arial" w:hAnsi="Arial" w:cs="Arial"/>
          <w:sz w:val="22"/>
          <w:szCs w:val="22"/>
        </w:rPr>
        <w:t>them</w:t>
      </w:r>
      <w:proofErr w:type="spellEnd"/>
      <w:r>
        <w:rPr>
          <w:rFonts w:ascii="Arial" w:hAnsi="Arial" w:cs="Arial"/>
          <w:sz w:val="22"/>
          <w:szCs w:val="22"/>
        </w:rPr>
        <w:t xml:space="preserve"> </w:t>
      </w:r>
      <w:proofErr w:type="spellStart"/>
      <w:r>
        <w:rPr>
          <w:rFonts w:ascii="Arial" w:hAnsi="Arial" w:cs="Arial"/>
          <w:sz w:val="22"/>
          <w:szCs w:val="22"/>
        </w:rPr>
        <w:t>have</w:t>
      </w:r>
      <w:proofErr w:type="spellEnd"/>
      <w:r>
        <w:rPr>
          <w:rFonts w:ascii="Arial" w:hAnsi="Arial" w:cs="Arial"/>
          <w:sz w:val="22"/>
          <w:szCs w:val="22"/>
        </w:rPr>
        <w:t xml:space="preserve"> </w:t>
      </w:r>
      <w:proofErr w:type="spellStart"/>
      <w:r>
        <w:rPr>
          <w:rFonts w:ascii="Arial" w:hAnsi="Arial" w:cs="Arial"/>
          <w:sz w:val="22"/>
          <w:szCs w:val="22"/>
        </w:rPr>
        <w:t>been</w:t>
      </w:r>
      <w:proofErr w:type="spellEnd"/>
      <w:r>
        <w:rPr>
          <w:rFonts w:ascii="Arial" w:hAnsi="Arial" w:cs="Arial"/>
          <w:sz w:val="22"/>
          <w:szCs w:val="22"/>
        </w:rPr>
        <w:t xml:space="preserve"> </w:t>
      </w:r>
      <w:proofErr w:type="spellStart"/>
      <w:r>
        <w:rPr>
          <w:rFonts w:ascii="Arial" w:hAnsi="Arial" w:cs="Arial"/>
          <w:sz w:val="22"/>
          <w:szCs w:val="22"/>
        </w:rPr>
        <w:t>able</w:t>
      </w:r>
      <w:proofErr w:type="spellEnd"/>
      <w:r>
        <w:rPr>
          <w:rFonts w:ascii="Arial" w:hAnsi="Arial" w:cs="Arial"/>
          <w:sz w:val="22"/>
          <w:szCs w:val="22"/>
        </w:rPr>
        <w:t xml:space="preserve"> to </w:t>
      </w:r>
      <w:proofErr w:type="spellStart"/>
      <w:r>
        <w:rPr>
          <w:rFonts w:ascii="Arial" w:hAnsi="Arial" w:cs="Arial"/>
          <w:sz w:val="22"/>
          <w:szCs w:val="22"/>
        </w:rPr>
        <w:t>continue</w:t>
      </w:r>
      <w:proofErr w:type="spellEnd"/>
      <w:r>
        <w:rPr>
          <w:rFonts w:ascii="Arial" w:hAnsi="Arial" w:cs="Arial"/>
          <w:sz w:val="22"/>
          <w:szCs w:val="22"/>
        </w:rPr>
        <w:t xml:space="preserve"> </w:t>
      </w:r>
      <w:proofErr w:type="spellStart"/>
      <w:r>
        <w:rPr>
          <w:rFonts w:ascii="Arial" w:hAnsi="Arial" w:cs="Arial"/>
          <w:sz w:val="22"/>
          <w:szCs w:val="22"/>
        </w:rPr>
        <w:t>their</w:t>
      </w:r>
      <w:proofErr w:type="spellEnd"/>
      <w:r>
        <w:rPr>
          <w:rFonts w:ascii="Arial" w:hAnsi="Arial" w:cs="Arial"/>
          <w:sz w:val="22"/>
          <w:szCs w:val="22"/>
        </w:rPr>
        <w:t xml:space="preserve"> </w:t>
      </w:r>
      <w:proofErr w:type="spellStart"/>
      <w:r>
        <w:rPr>
          <w:rFonts w:ascii="Arial" w:hAnsi="Arial" w:cs="Arial"/>
          <w:sz w:val="22"/>
          <w:szCs w:val="22"/>
        </w:rPr>
        <w:t>research</w:t>
      </w:r>
      <w:proofErr w:type="spellEnd"/>
      <w:r>
        <w:rPr>
          <w:rFonts w:ascii="Arial" w:hAnsi="Arial" w:cs="Arial"/>
          <w:sz w:val="22"/>
          <w:szCs w:val="22"/>
        </w:rPr>
        <w:t xml:space="preserve"> </w:t>
      </w:r>
      <w:proofErr w:type="spellStart"/>
      <w:r>
        <w:rPr>
          <w:rFonts w:ascii="Arial" w:hAnsi="Arial" w:cs="Arial"/>
          <w:sz w:val="22"/>
          <w:szCs w:val="22"/>
        </w:rPr>
        <w:t>careers</w:t>
      </w:r>
      <w:proofErr w:type="spellEnd"/>
      <w:r>
        <w:rPr>
          <w:rFonts w:ascii="Arial" w:hAnsi="Arial" w:cs="Arial"/>
          <w:sz w:val="22"/>
          <w:szCs w:val="22"/>
        </w:rPr>
        <w:t xml:space="preserve"> (</w:t>
      </w:r>
      <w:proofErr w:type="spellStart"/>
      <w:r>
        <w:rPr>
          <w:rFonts w:ascii="Arial" w:hAnsi="Arial" w:cs="Arial"/>
          <w:sz w:val="22"/>
          <w:szCs w:val="22"/>
        </w:rPr>
        <w:t>both</w:t>
      </w:r>
      <w:proofErr w:type="spellEnd"/>
      <w:r>
        <w:rPr>
          <w:rFonts w:ascii="Arial" w:hAnsi="Arial" w:cs="Arial"/>
          <w:sz w:val="22"/>
          <w:szCs w:val="22"/>
        </w:rPr>
        <w:t xml:space="preserve"> at UPF and </w:t>
      </w:r>
      <w:proofErr w:type="spellStart"/>
      <w:r>
        <w:rPr>
          <w:rFonts w:ascii="Arial" w:hAnsi="Arial" w:cs="Arial"/>
          <w:sz w:val="22"/>
          <w:szCs w:val="22"/>
        </w:rPr>
        <w:t>other</w:t>
      </w:r>
      <w:proofErr w:type="spellEnd"/>
      <w:r>
        <w:rPr>
          <w:rFonts w:ascii="Arial" w:hAnsi="Arial" w:cs="Arial"/>
          <w:sz w:val="22"/>
          <w:szCs w:val="22"/>
        </w:rPr>
        <w:t xml:space="preserve"> </w:t>
      </w:r>
      <w:proofErr w:type="spellStart"/>
      <w:r>
        <w:rPr>
          <w:rFonts w:ascii="Arial" w:hAnsi="Arial" w:cs="Arial"/>
          <w:sz w:val="22"/>
          <w:szCs w:val="22"/>
        </w:rPr>
        <w:t>research</w:t>
      </w:r>
      <w:proofErr w:type="spellEnd"/>
      <w:r>
        <w:rPr>
          <w:rFonts w:ascii="Arial" w:hAnsi="Arial" w:cs="Arial"/>
          <w:sz w:val="22"/>
          <w:szCs w:val="22"/>
        </w:rPr>
        <w:t xml:space="preserve"> institucions). The </w:t>
      </w:r>
      <w:proofErr w:type="spellStart"/>
      <w:r>
        <w:rPr>
          <w:rFonts w:ascii="Arial" w:hAnsi="Arial" w:cs="Arial"/>
          <w:sz w:val="22"/>
          <w:szCs w:val="22"/>
        </w:rPr>
        <w:t>UP</w:t>
      </w:r>
      <w:r w:rsidR="003E4F08">
        <w:rPr>
          <w:rFonts w:ascii="Arial" w:hAnsi="Arial" w:cs="Arial"/>
          <w:sz w:val="22"/>
          <w:szCs w:val="22"/>
        </w:rPr>
        <w:t>F</w:t>
      </w:r>
      <w:r>
        <w:rPr>
          <w:rFonts w:ascii="Arial" w:hAnsi="Arial" w:cs="Arial"/>
          <w:sz w:val="22"/>
          <w:szCs w:val="22"/>
        </w:rPr>
        <w:t>ellows</w:t>
      </w:r>
      <w:proofErr w:type="spellEnd"/>
      <w:r>
        <w:rPr>
          <w:rFonts w:ascii="Arial" w:hAnsi="Arial" w:cs="Arial"/>
          <w:sz w:val="22"/>
          <w:szCs w:val="22"/>
        </w:rPr>
        <w:t xml:space="preserve"> </w:t>
      </w:r>
      <w:proofErr w:type="spellStart"/>
      <w:r>
        <w:rPr>
          <w:rFonts w:ascii="Arial" w:hAnsi="Arial" w:cs="Arial"/>
          <w:sz w:val="22"/>
          <w:szCs w:val="22"/>
        </w:rPr>
        <w:t>programme</w:t>
      </w:r>
      <w:proofErr w:type="spellEnd"/>
      <w:r>
        <w:rPr>
          <w:rFonts w:ascii="Arial" w:hAnsi="Arial" w:cs="Arial"/>
          <w:sz w:val="22"/>
          <w:szCs w:val="22"/>
        </w:rPr>
        <w:t xml:space="preserve"> </w:t>
      </w:r>
      <w:proofErr w:type="spellStart"/>
      <w:r>
        <w:rPr>
          <w:rFonts w:ascii="Arial" w:hAnsi="Arial" w:cs="Arial"/>
          <w:sz w:val="22"/>
          <w:szCs w:val="22"/>
        </w:rPr>
        <w:t>enabled</w:t>
      </w:r>
      <w:proofErr w:type="spellEnd"/>
      <w:r>
        <w:rPr>
          <w:rFonts w:ascii="Arial" w:hAnsi="Arial" w:cs="Arial"/>
          <w:sz w:val="22"/>
          <w:szCs w:val="22"/>
        </w:rPr>
        <w:t xml:space="preserve"> </w:t>
      </w:r>
      <w:proofErr w:type="spellStart"/>
      <w:r>
        <w:rPr>
          <w:rFonts w:ascii="Arial" w:hAnsi="Arial" w:cs="Arial"/>
          <w:sz w:val="22"/>
          <w:szCs w:val="22"/>
        </w:rPr>
        <w:t>them</w:t>
      </w:r>
      <w:proofErr w:type="spellEnd"/>
      <w:r>
        <w:rPr>
          <w:rFonts w:ascii="Arial" w:hAnsi="Arial" w:cs="Arial"/>
          <w:sz w:val="22"/>
          <w:szCs w:val="22"/>
        </w:rPr>
        <w:t xml:space="preserve"> to </w:t>
      </w:r>
      <w:proofErr w:type="spellStart"/>
      <w:r>
        <w:rPr>
          <w:rFonts w:ascii="Arial" w:hAnsi="Arial" w:cs="Arial"/>
          <w:sz w:val="22"/>
          <w:szCs w:val="22"/>
        </w:rPr>
        <w:t>gain</w:t>
      </w:r>
      <w:proofErr w:type="spellEnd"/>
      <w:r>
        <w:rPr>
          <w:rFonts w:ascii="Arial" w:hAnsi="Arial" w:cs="Arial"/>
          <w:sz w:val="22"/>
          <w:szCs w:val="22"/>
        </w:rPr>
        <w:t xml:space="preserve"> </w:t>
      </w:r>
      <w:proofErr w:type="spellStart"/>
      <w:r>
        <w:rPr>
          <w:rFonts w:ascii="Arial" w:hAnsi="Arial" w:cs="Arial"/>
          <w:sz w:val="22"/>
          <w:szCs w:val="22"/>
        </w:rPr>
        <w:t>training</w:t>
      </w:r>
      <w:proofErr w:type="spellEnd"/>
      <w:r>
        <w:rPr>
          <w:rFonts w:ascii="Arial" w:hAnsi="Arial" w:cs="Arial"/>
          <w:sz w:val="22"/>
          <w:szCs w:val="22"/>
        </w:rPr>
        <w:t xml:space="preserve"> and </w:t>
      </w:r>
      <w:proofErr w:type="spellStart"/>
      <w:r>
        <w:rPr>
          <w:rFonts w:ascii="Arial" w:hAnsi="Arial" w:cs="Arial"/>
          <w:sz w:val="22"/>
          <w:szCs w:val="22"/>
        </w:rPr>
        <w:t>experience</w:t>
      </w:r>
      <w:proofErr w:type="spellEnd"/>
      <w:r>
        <w:rPr>
          <w:rFonts w:ascii="Arial" w:hAnsi="Arial" w:cs="Arial"/>
          <w:sz w:val="22"/>
          <w:szCs w:val="22"/>
        </w:rPr>
        <w:t xml:space="preserve"> and </w:t>
      </w:r>
      <w:proofErr w:type="spellStart"/>
      <w:r>
        <w:rPr>
          <w:rFonts w:ascii="Arial" w:hAnsi="Arial" w:cs="Arial"/>
          <w:sz w:val="22"/>
          <w:szCs w:val="22"/>
        </w:rPr>
        <w:t>promote</w:t>
      </w:r>
      <w:proofErr w:type="spellEnd"/>
      <w:r>
        <w:rPr>
          <w:rFonts w:ascii="Arial" w:hAnsi="Arial" w:cs="Arial"/>
          <w:sz w:val="22"/>
          <w:szCs w:val="22"/>
        </w:rPr>
        <w:t xml:space="preserve"> </w:t>
      </w:r>
      <w:proofErr w:type="spellStart"/>
      <w:r>
        <w:rPr>
          <w:rFonts w:ascii="Arial" w:hAnsi="Arial" w:cs="Arial"/>
          <w:sz w:val="22"/>
          <w:szCs w:val="22"/>
        </w:rPr>
        <w:t>them</w:t>
      </w:r>
      <w:proofErr w:type="spellEnd"/>
      <w:r>
        <w:rPr>
          <w:rFonts w:ascii="Arial" w:hAnsi="Arial" w:cs="Arial"/>
          <w:sz w:val="22"/>
          <w:szCs w:val="22"/>
        </w:rPr>
        <w:t xml:space="preserve"> in </w:t>
      </w:r>
      <w:proofErr w:type="spellStart"/>
      <w:r>
        <w:rPr>
          <w:rFonts w:ascii="Arial" w:hAnsi="Arial" w:cs="Arial"/>
          <w:sz w:val="22"/>
          <w:szCs w:val="22"/>
        </w:rPr>
        <w:t>their</w:t>
      </w:r>
      <w:proofErr w:type="spellEnd"/>
      <w:r>
        <w:rPr>
          <w:rFonts w:ascii="Arial" w:hAnsi="Arial" w:cs="Arial"/>
          <w:sz w:val="22"/>
          <w:szCs w:val="22"/>
        </w:rPr>
        <w:t xml:space="preserve"> </w:t>
      </w:r>
      <w:proofErr w:type="spellStart"/>
      <w:r>
        <w:rPr>
          <w:rFonts w:ascii="Arial" w:hAnsi="Arial" w:cs="Arial"/>
          <w:sz w:val="22"/>
          <w:szCs w:val="22"/>
        </w:rPr>
        <w:t>own</w:t>
      </w:r>
      <w:proofErr w:type="spellEnd"/>
      <w:r>
        <w:rPr>
          <w:rFonts w:ascii="Arial" w:hAnsi="Arial" w:cs="Arial"/>
          <w:sz w:val="22"/>
          <w:szCs w:val="22"/>
        </w:rPr>
        <w:t xml:space="preserve"> </w:t>
      </w:r>
      <w:proofErr w:type="spellStart"/>
      <w:r>
        <w:rPr>
          <w:rFonts w:ascii="Arial" w:hAnsi="Arial" w:cs="Arial"/>
          <w:sz w:val="22"/>
          <w:szCs w:val="22"/>
        </w:rPr>
        <w:t>research</w:t>
      </w:r>
      <w:proofErr w:type="spellEnd"/>
      <w:r>
        <w:rPr>
          <w:rFonts w:ascii="Arial" w:hAnsi="Arial" w:cs="Arial"/>
          <w:sz w:val="22"/>
          <w:szCs w:val="22"/>
        </w:rPr>
        <w:t xml:space="preserve"> </w:t>
      </w:r>
      <w:proofErr w:type="spellStart"/>
      <w:r>
        <w:rPr>
          <w:rFonts w:ascii="Arial" w:hAnsi="Arial" w:cs="Arial"/>
          <w:sz w:val="22"/>
          <w:szCs w:val="22"/>
        </w:rPr>
        <w:t>fields</w:t>
      </w:r>
      <w:proofErr w:type="spellEnd"/>
      <w:r>
        <w:rPr>
          <w:rFonts w:ascii="Arial" w:hAnsi="Arial" w:cs="Arial"/>
          <w:sz w:val="22"/>
          <w:szCs w:val="22"/>
        </w:rPr>
        <w:t xml:space="preserve">. </w:t>
      </w:r>
      <w:proofErr w:type="spellStart"/>
      <w:r>
        <w:rPr>
          <w:rFonts w:ascii="Arial" w:hAnsi="Arial" w:cs="Arial"/>
          <w:sz w:val="22"/>
          <w:szCs w:val="22"/>
        </w:rPr>
        <w:t>Some</w:t>
      </w:r>
      <w:proofErr w:type="spellEnd"/>
      <w:r>
        <w:rPr>
          <w:rFonts w:ascii="Arial" w:hAnsi="Arial" w:cs="Arial"/>
          <w:sz w:val="22"/>
          <w:szCs w:val="22"/>
        </w:rPr>
        <w:t xml:space="preserve"> of </w:t>
      </w:r>
      <w:proofErr w:type="spellStart"/>
      <w:r>
        <w:rPr>
          <w:rFonts w:ascii="Arial" w:hAnsi="Arial" w:cs="Arial"/>
          <w:sz w:val="22"/>
          <w:szCs w:val="22"/>
        </w:rPr>
        <w:t>them</w:t>
      </w:r>
      <w:proofErr w:type="spellEnd"/>
      <w:r>
        <w:rPr>
          <w:rFonts w:ascii="Arial" w:hAnsi="Arial" w:cs="Arial"/>
          <w:sz w:val="22"/>
          <w:szCs w:val="22"/>
        </w:rPr>
        <w:t xml:space="preserve"> </w:t>
      </w:r>
      <w:proofErr w:type="spellStart"/>
      <w:r>
        <w:rPr>
          <w:rFonts w:ascii="Arial" w:hAnsi="Arial" w:cs="Arial"/>
          <w:sz w:val="22"/>
          <w:szCs w:val="22"/>
        </w:rPr>
        <w:t>were</w:t>
      </w:r>
      <w:proofErr w:type="spellEnd"/>
      <w:r>
        <w:rPr>
          <w:rFonts w:ascii="Arial" w:hAnsi="Arial" w:cs="Arial"/>
          <w:sz w:val="22"/>
          <w:szCs w:val="22"/>
        </w:rPr>
        <w:t xml:space="preserve"> </w:t>
      </w:r>
      <w:proofErr w:type="spellStart"/>
      <w:r>
        <w:rPr>
          <w:rFonts w:ascii="Arial" w:hAnsi="Arial" w:cs="Arial"/>
          <w:sz w:val="22"/>
          <w:szCs w:val="22"/>
        </w:rPr>
        <w:t>awarded</w:t>
      </w:r>
      <w:proofErr w:type="spellEnd"/>
      <w:r>
        <w:rPr>
          <w:rFonts w:ascii="Arial" w:hAnsi="Arial" w:cs="Arial"/>
          <w:sz w:val="22"/>
          <w:szCs w:val="22"/>
        </w:rPr>
        <w:t xml:space="preserve"> </w:t>
      </w:r>
      <w:proofErr w:type="spellStart"/>
      <w:r>
        <w:rPr>
          <w:rFonts w:ascii="Arial" w:hAnsi="Arial" w:cs="Arial"/>
          <w:sz w:val="22"/>
          <w:szCs w:val="22"/>
        </w:rPr>
        <w:t>with</w:t>
      </w:r>
      <w:proofErr w:type="spellEnd"/>
      <w:r>
        <w:rPr>
          <w:rFonts w:ascii="Arial" w:hAnsi="Arial" w:cs="Arial"/>
          <w:sz w:val="22"/>
          <w:szCs w:val="22"/>
        </w:rPr>
        <w:t xml:space="preserve"> ERC </w:t>
      </w:r>
      <w:proofErr w:type="spellStart"/>
      <w:r>
        <w:rPr>
          <w:rFonts w:ascii="Arial" w:hAnsi="Arial" w:cs="Arial"/>
          <w:sz w:val="22"/>
          <w:szCs w:val="22"/>
        </w:rPr>
        <w:t>Starting</w:t>
      </w:r>
      <w:proofErr w:type="spellEnd"/>
      <w:r>
        <w:rPr>
          <w:rFonts w:ascii="Arial" w:hAnsi="Arial" w:cs="Arial"/>
          <w:sz w:val="22"/>
          <w:szCs w:val="22"/>
        </w:rPr>
        <w:t xml:space="preserve"> </w:t>
      </w:r>
      <w:proofErr w:type="spellStart"/>
      <w:r>
        <w:rPr>
          <w:rFonts w:ascii="Arial" w:hAnsi="Arial" w:cs="Arial"/>
          <w:sz w:val="22"/>
          <w:szCs w:val="22"/>
        </w:rPr>
        <w:t>Grants</w:t>
      </w:r>
      <w:proofErr w:type="spellEnd"/>
      <w:r>
        <w:rPr>
          <w:rFonts w:ascii="Arial" w:hAnsi="Arial" w:cs="Arial"/>
          <w:sz w:val="22"/>
          <w:szCs w:val="22"/>
        </w:rPr>
        <w:t xml:space="preserve"> or </w:t>
      </w:r>
      <w:proofErr w:type="spellStart"/>
      <w:r>
        <w:rPr>
          <w:rFonts w:ascii="Arial" w:hAnsi="Arial" w:cs="Arial"/>
          <w:sz w:val="22"/>
          <w:szCs w:val="22"/>
        </w:rPr>
        <w:t>other</w:t>
      </w:r>
      <w:proofErr w:type="spellEnd"/>
      <w:r>
        <w:rPr>
          <w:rFonts w:ascii="Arial" w:hAnsi="Arial" w:cs="Arial"/>
          <w:sz w:val="22"/>
          <w:szCs w:val="22"/>
        </w:rPr>
        <w:t xml:space="preserve"> </w:t>
      </w:r>
      <w:proofErr w:type="spellStart"/>
      <w:r>
        <w:rPr>
          <w:rFonts w:ascii="Arial" w:hAnsi="Arial" w:cs="Arial"/>
          <w:sz w:val="22"/>
          <w:szCs w:val="22"/>
        </w:rPr>
        <w:t>prestigious</w:t>
      </w:r>
      <w:proofErr w:type="spellEnd"/>
      <w:r>
        <w:rPr>
          <w:rFonts w:ascii="Arial" w:hAnsi="Arial" w:cs="Arial"/>
          <w:sz w:val="22"/>
          <w:szCs w:val="22"/>
        </w:rPr>
        <w:t xml:space="preserve"> </w:t>
      </w:r>
      <w:proofErr w:type="spellStart"/>
      <w:r>
        <w:rPr>
          <w:rFonts w:ascii="Arial" w:hAnsi="Arial" w:cs="Arial"/>
          <w:sz w:val="22"/>
          <w:szCs w:val="22"/>
        </w:rPr>
        <w:t>research</w:t>
      </w:r>
      <w:proofErr w:type="spellEnd"/>
      <w:r>
        <w:rPr>
          <w:rFonts w:ascii="Arial" w:hAnsi="Arial" w:cs="Arial"/>
          <w:sz w:val="22"/>
          <w:szCs w:val="22"/>
        </w:rPr>
        <w:t xml:space="preserve"> </w:t>
      </w:r>
      <w:proofErr w:type="spellStart"/>
      <w:r>
        <w:rPr>
          <w:rFonts w:ascii="Arial" w:hAnsi="Arial" w:cs="Arial"/>
          <w:sz w:val="22"/>
          <w:szCs w:val="22"/>
        </w:rPr>
        <w:t>grants</w:t>
      </w:r>
      <w:proofErr w:type="spellEnd"/>
      <w:r>
        <w:rPr>
          <w:rFonts w:ascii="Arial" w:hAnsi="Arial" w:cs="Arial"/>
          <w:sz w:val="22"/>
          <w:szCs w:val="22"/>
        </w:rPr>
        <w:t xml:space="preserve"> and in </w:t>
      </w:r>
      <w:proofErr w:type="spellStart"/>
      <w:r>
        <w:rPr>
          <w:rFonts w:ascii="Arial" w:hAnsi="Arial" w:cs="Arial"/>
          <w:sz w:val="22"/>
          <w:szCs w:val="22"/>
        </w:rPr>
        <w:t>some</w:t>
      </w:r>
      <w:proofErr w:type="spellEnd"/>
      <w:r>
        <w:rPr>
          <w:rFonts w:ascii="Arial" w:hAnsi="Arial" w:cs="Arial"/>
          <w:sz w:val="22"/>
          <w:szCs w:val="22"/>
        </w:rPr>
        <w:t xml:space="preserve"> cases </w:t>
      </w:r>
      <w:proofErr w:type="spellStart"/>
      <w:r>
        <w:rPr>
          <w:rFonts w:ascii="Arial" w:hAnsi="Arial" w:cs="Arial"/>
          <w:sz w:val="22"/>
          <w:szCs w:val="22"/>
        </w:rPr>
        <w:t>they</w:t>
      </w:r>
      <w:proofErr w:type="spellEnd"/>
      <w:r>
        <w:rPr>
          <w:rFonts w:ascii="Arial" w:hAnsi="Arial" w:cs="Arial"/>
          <w:sz w:val="22"/>
          <w:szCs w:val="22"/>
        </w:rPr>
        <w:t xml:space="preserve"> </w:t>
      </w:r>
      <w:proofErr w:type="spellStart"/>
      <w:r>
        <w:rPr>
          <w:rFonts w:ascii="Arial" w:hAnsi="Arial" w:cs="Arial"/>
          <w:sz w:val="22"/>
          <w:szCs w:val="22"/>
        </w:rPr>
        <w:t>received</w:t>
      </w:r>
      <w:proofErr w:type="spellEnd"/>
      <w:r>
        <w:rPr>
          <w:rFonts w:ascii="Arial" w:hAnsi="Arial" w:cs="Arial"/>
          <w:sz w:val="22"/>
          <w:szCs w:val="22"/>
        </w:rPr>
        <w:t xml:space="preserve"> </w:t>
      </w:r>
      <w:proofErr w:type="spellStart"/>
      <w:r>
        <w:rPr>
          <w:rFonts w:ascii="Arial" w:hAnsi="Arial" w:cs="Arial"/>
          <w:sz w:val="22"/>
          <w:szCs w:val="22"/>
        </w:rPr>
        <w:t>offers</w:t>
      </w:r>
      <w:proofErr w:type="spellEnd"/>
      <w:r>
        <w:rPr>
          <w:rFonts w:ascii="Arial" w:hAnsi="Arial" w:cs="Arial"/>
          <w:sz w:val="22"/>
          <w:szCs w:val="22"/>
        </w:rPr>
        <w:t xml:space="preserve"> for permanent </w:t>
      </w:r>
      <w:proofErr w:type="spellStart"/>
      <w:r>
        <w:rPr>
          <w:rFonts w:ascii="Arial" w:hAnsi="Arial" w:cs="Arial"/>
          <w:sz w:val="22"/>
          <w:szCs w:val="22"/>
        </w:rPr>
        <w:t>positions</w:t>
      </w:r>
      <w:proofErr w:type="spellEnd"/>
      <w:r>
        <w:rPr>
          <w:rFonts w:ascii="Arial" w:hAnsi="Arial" w:cs="Arial"/>
          <w:sz w:val="22"/>
          <w:szCs w:val="22"/>
        </w:rPr>
        <w:t>.</w:t>
      </w:r>
    </w:p>
    <w:p w:rsidR="00CD4867" w:rsidRDefault="00CD4867" w:rsidP="00CD4867">
      <w:pPr>
        <w:shd w:val="clear" w:color="auto" w:fill="FFFFFF"/>
        <w:spacing w:before="120" w:line="276" w:lineRule="auto"/>
        <w:jc w:val="both"/>
        <w:rPr>
          <w:rFonts w:ascii="Arial" w:hAnsi="Arial" w:cs="Arial"/>
          <w:sz w:val="22"/>
          <w:szCs w:val="22"/>
        </w:rPr>
      </w:pPr>
      <w:r>
        <w:rPr>
          <w:rFonts w:ascii="Arial" w:hAnsi="Arial" w:cs="Arial"/>
          <w:sz w:val="22"/>
          <w:szCs w:val="22"/>
        </w:rPr>
        <w:t xml:space="preserve">At </w:t>
      </w:r>
      <w:proofErr w:type="spellStart"/>
      <w:r>
        <w:rPr>
          <w:rFonts w:ascii="Arial" w:hAnsi="Arial" w:cs="Arial"/>
          <w:sz w:val="22"/>
          <w:szCs w:val="22"/>
        </w:rPr>
        <w:t>institutional</w:t>
      </w:r>
      <w:proofErr w:type="spellEnd"/>
      <w:r>
        <w:rPr>
          <w:rFonts w:ascii="Arial" w:hAnsi="Arial" w:cs="Arial"/>
          <w:sz w:val="22"/>
          <w:szCs w:val="22"/>
        </w:rPr>
        <w:t xml:space="preserve"> </w:t>
      </w:r>
      <w:proofErr w:type="spellStart"/>
      <w:r>
        <w:rPr>
          <w:rFonts w:ascii="Arial" w:hAnsi="Arial" w:cs="Arial"/>
          <w:sz w:val="22"/>
          <w:szCs w:val="22"/>
        </w:rPr>
        <w:t>level</w:t>
      </w:r>
      <w:proofErr w:type="spellEnd"/>
      <w:r>
        <w:rPr>
          <w:rFonts w:ascii="Arial" w:hAnsi="Arial" w:cs="Arial"/>
          <w:sz w:val="22"/>
          <w:szCs w:val="22"/>
        </w:rPr>
        <w:t xml:space="preserve"> </w:t>
      </w:r>
      <w:proofErr w:type="spellStart"/>
      <w:r>
        <w:rPr>
          <w:rFonts w:ascii="Arial" w:hAnsi="Arial" w:cs="Arial"/>
          <w:sz w:val="22"/>
          <w:szCs w:val="22"/>
        </w:rPr>
        <w:t>the</w:t>
      </w:r>
      <w:proofErr w:type="spellEnd"/>
      <w:r>
        <w:rPr>
          <w:rFonts w:ascii="Arial" w:hAnsi="Arial" w:cs="Arial"/>
          <w:sz w:val="22"/>
          <w:szCs w:val="22"/>
        </w:rPr>
        <w:t xml:space="preserve"> </w:t>
      </w:r>
      <w:proofErr w:type="spellStart"/>
      <w:r>
        <w:rPr>
          <w:rFonts w:ascii="Arial" w:hAnsi="Arial" w:cs="Arial"/>
          <w:sz w:val="22"/>
          <w:szCs w:val="22"/>
        </w:rPr>
        <w:t>impact</w:t>
      </w:r>
      <w:proofErr w:type="spellEnd"/>
      <w:r>
        <w:rPr>
          <w:rFonts w:ascii="Arial" w:hAnsi="Arial" w:cs="Arial"/>
          <w:sz w:val="22"/>
          <w:szCs w:val="22"/>
        </w:rPr>
        <w:t xml:space="preserve"> </w:t>
      </w:r>
      <w:proofErr w:type="spellStart"/>
      <w:r>
        <w:rPr>
          <w:rFonts w:ascii="Arial" w:hAnsi="Arial" w:cs="Arial"/>
          <w:sz w:val="22"/>
          <w:szCs w:val="22"/>
        </w:rPr>
        <w:t>was</w:t>
      </w:r>
      <w:proofErr w:type="spellEnd"/>
      <w:r>
        <w:rPr>
          <w:rFonts w:ascii="Arial" w:hAnsi="Arial" w:cs="Arial"/>
          <w:sz w:val="22"/>
          <w:szCs w:val="22"/>
        </w:rPr>
        <w:t xml:space="preserve"> </w:t>
      </w:r>
      <w:proofErr w:type="spellStart"/>
      <w:r>
        <w:rPr>
          <w:rFonts w:ascii="Arial" w:hAnsi="Arial" w:cs="Arial"/>
          <w:sz w:val="22"/>
          <w:szCs w:val="22"/>
        </w:rPr>
        <w:t>very</w:t>
      </w:r>
      <w:proofErr w:type="spellEnd"/>
      <w:r>
        <w:rPr>
          <w:rFonts w:ascii="Arial" w:hAnsi="Arial" w:cs="Arial"/>
          <w:sz w:val="22"/>
          <w:szCs w:val="22"/>
        </w:rPr>
        <w:t xml:space="preserve"> </w:t>
      </w:r>
      <w:proofErr w:type="spellStart"/>
      <w:r>
        <w:rPr>
          <w:rFonts w:ascii="Arial" w:hAnsi="Arial" w:cs="Arial"/>
          <w:sz w:val="22"/>
          <w:szCs w:val="22"/>
        </w:rPr>
        <w:t>positive</w:t>
      </w:r>
      <w:proofErr w:type="spellEnd"/>
      <w:r>
        <w:rPr>
          <w:rFonts w:ascii="Arial" w:hAnsi="Arial" w:cs="Arial"/>
          <w:sz w:val="22"/>
          <w:szCs w:val="22"/>
        </w:rPr>
        <w:t xml:space="preserve"> </w:t>
      </w:r>
      <w:proofErr w:type="spellStart"/>
      <w:r>
        <w:rPr>
          <w:rFonts w:ascii="Arial" w:hAnsi="Arial" w:cs="Arial"/>
          <w:sz w:val="22"/>
          <w:szCs w:val="22"/>
        </w:rPr>
        <w:t>since</w:t>
      </w:r>
      <w:proofErr w:type="spellEnd"/>
      <w:r>
        <w:rPr>
          <w:rFonts w:ascii="Arial" w:hAnsi="Arial" w:cs="Arial"/>
          <w:sz w:val="22"/>
          <w:szCs w:val="22"/>
        </w:rPr>
        <w:t xml:space="preserve"> </w:t>
      </w:r>
      <w:proofErr w:type="spellStart"/>
      <w:r>
        <w:rPr>
          <w:rFonts w:ascii="Arial" w:hAnsi="Arial" w:cs="Arial"/>
          <w:sz w:val="22"/>
          <w:szCs w:val="22"/>
        </w:rPr>
        <w:t>the</w:t>
      </w:r>
      <w:proofErr w:type="spellEnd"/>
      <w:r>
        <w:rPr>
          <w:rFonts w:ascii="Arial" w:hAnsi="Arial" w:cs="Arial"/>
          <w:sz w:val="22"/>
          <w:szCs w:val="22"/>
        </w:rPr>
        <w:t xml:space="preserve"> </w:t>
      </w:r>
      <w:proofErr w:type="spellStart"/>
      <w:r>
        <w:rPr>
          <w:rFonts w:ascii="Arial" w:hAnsi="Arial" w:cs="Arial"/>
          <w:sz w:val="22"/>
          <w:szCs w:val="22"/>
        </w:rPr>
        <w:t>UP</w:t>
      </w:r>
      <w:r w:rsidR="00C87F92">
        <w:rPr>
          <w:rFonts w:ascii="Arial" w:hAnsi="Arial" w:cs="Arial"/>
          <w:sz w:val="22"/>
          <w:szCs w:val="22"/>
        </w:rPr>
        <w:t>F</w:t>
      </w:r>
      <w:r>
        <w:rPr>
          <w:rFonts w:ascii="Arial" w:hAnsi="Arial" w:cs="Arial"/>
          <w:sz w:val="22"/>
          <w:szCs w:val="22"/>
        </w:rPr>
        <w:t>ellows</w:t>
      </w:r>
      <w:proofErr w:type="spellEnd"/>
      <w:r>
        <w:rPr>
          <w:rFonts w:ascii="Arial" w:hAnsi="Arial" w:cs="Arial"/>
          <w:sz w:val="22"/>
          <w:szCs w:val="22"/>
        </w:rPr>
        <w:t xml:space="preserve"> </w:t>
      </w:r>
      <w:proofErr w:type="spellStart"/>
      <w:r>
        <w:rPr>
          <w:rFonts w:ascii="Arial" w:hAnsi="Arial" w:cs="Arial"/>
          <w:sz w:val="22"/>
          <w:szCs w:val="22"/>
        </w:rPr>
        <w:t>programme</w:t>
      </w:r>
      <w:proofErr w:type="spellEnd"/>
      <w:r>
        <w:rPr>
          <w:rFonts w:ascii="Arial" w:hAnsi="Arial" w:cs="Arial"/>
          <w:sz w:val="22"/>
          <w:szCs w:val="22"/>
        </w:rPr>
        <w:t xml:space="preserve"> </w:t>
      </w:r>
      <w:proofErr w:type="spellStart"/>
      <w:r>
        <w:rPr>
          <w:rFonts w:ascii="Arial" w:hAnsi="Arial" w:cs="Arial"/>
          <w:sz w:val="22"/>
          <w:szCs w:val="22"/>
        </w:rPr>
        <w:t>contributed</w:t>
      </w:r>
      <w:proofErr w:type="spellEnd"/>
      <w:r>
        <w:rPr>
          <w:rFonts w:ascii="Arial" w:hAnsi="Arial" w:cs="Arial"/>
          <w:sz w:val="22"/>
          <w:szCs w:val="22"/>
        </w:rPr>
        <w:t xml:space="preserve"> to </w:t>
      </w:r>
      <w:proofErr w:type="spellStart"/>
      <w:r>
        <w:rPr>
          <w:rFonts w:ascii="Arial" w:hAnsi="Arial" w:cs="Arial"/>
          <w:sz w:val="22"/>
          <w:szCs w:val="22"/>
        </w:rPr>
        <w:t>establish</w:t>
      </w:r>
      <w:proofErr w:type="spellEnd"/>
      <w:r>
        <w:rPr>
          <w:rFonts w:ascii="Arial" w:hAnsi="Arial" w:cs="Arial"/>
          <w:sz w:val="22"/>
          <w:szCs w:val="22"/>
        </w:rPr>
        <w:t xml:space="preserve"> </w:t>
      </w:r>
      <w:proofErr w:type="spellStart"/>
      <w:r>
        <w:rPr>
          <w:rFonts w:ascii="Arial" w:hAnsi="Arial" w:cs="Arial"/>
          <w:sz w:val="22"/>
          <w:szCs w:val="22"/>
        </w:rPr>
        <w:t>the</w:t>
      </w:r>
      <w:proofErr w:type="spellEnd"/>
      <w:r>
        <w:rPr>
          <w:rFonts w:ascii="Arial" w:hAnsi="Arial" w:cs="Arial"/>
          <w:sz w:val="22"/>
          <w:szCs w:val="22"/>
        </w:rPr>
        <w:t xml:space="preserve"> basis for </w:t>
      </w:r>
      <w:proofErr w:type="spellStart"/>
      <w:r>
        <w:rPr>
          <w:rFonts w:ascii="Arial" w:hAnsi="Arial" w:cs="Arial"/>
          <w:sz w:val="22"/>
          <w:szCs w:val="22"/>
        </w:rPr>
        <w:t>an</w:t>
      </w:r>
      <w:proofErr w:type="spellEnd"/>
      <w:r>
        <w:rPr>
          <w:rFonts w:ascii="Arial" w:hAnsi="Arial" w:cs="Arial"/>
          <w:sz w:val="22"/>
          <w:szCs w:val="22"/>
        </w:rPr>
        <w:t xml:space="preserve"> </w:t>
      </w:r>
      <w:proofErr w:type="spellStart"/>
      <w:r>
        <w:rPr>
          <w:rFonts w:ascii="Arial" w:hAnsi="Arial" w:cs="Arial"/>
          <w:sz w:val="22"/>
          <w:szCs w:val="22"/>
        </w:rPr>
        <w:t>institutional</w:t>
      </w:r>
      <w:proofErr w:type="spellEnd"/>
      <w:r>
        <w:rPr>
          <w:rFonts w:ascii="Arial" w:hAnsi="Arial" w:cs="Arial"/>
          <w:sz w:val="22"/>
          <w:szCs w:val="22"/>
        </w:rPr>
        <w:t xml:space="preserve"> </w:t>
      </w:r>
      <w:proofErr w:type="spellStart"/>
      <w:r>
        <w:rPr>
          <w:rFonts w:ascii="Arial" w:hAnsi="Arial" w:cs="Arial"/>
          <w:sz w:val="22"/>
          <w:szCs w:val="22"/>
        </w:rPr>
        <w:t>programme</w:t>
      </w:r>
      <w:proofErr w:type="spellEnd"/>
      <w:r>
        <w:rPr>
          <w:rFonts w:ascii="Arial" w:hAnsi="Arial" w:cs="Arial"/>
          <w:sz w:val="22"/>
          <w:szCs w:val="22"/>
        </w:rPr>
        <w:t xml:space="preserve"> for talent </w:t>
      </w:r>
      <w:proofErr w:type="spellStart"/>
      <w:r>
        <w:rPr>
          <w:rFonts w:ascii="Arial" w:hAnsi="Arial" w:cs="Arial"/>
          <w:sz w:val="22"/>
          <w:szCs w:val="22"/>
        </w:rPr>
        <w:t>attraction</w:t>
      </w:r>
      <w:proofErr w:type="spellEnd"/>
      <w:r w:rsidR="00C87F92">
        <w:rPr>
          <w:rFonts w:ascii="Arial" w:hAnsi="Arial" w:cs="Arial"/>
          <w:sz w:val="22"/>
          <w:szCs w:val="22"/>
        </w:rPr>
        <w:t xml:space="preserve">, </w:t>
      </w:r>
      <w:r>
        <w:rPr>
          <w:rFonts w:ascii="Arial" w:hAnsi="Arial" w:cs="Arial"/>
          <w:sz w:val="22"/>
          <w:szCs w:val="22"/>
        </w:rPr>
        <w:t xml:space="preserve">to </w:t>
      </w:r>
      <w:proofErr w:type="spellStart"/>
      <w:r>
        <w:rPr>
          <w:rFonts w:ascii="Arial" w:hAnsi="Arial" w:cs="Arial"/>
          <w:sz w:val="22"/>
          <w:szCs w:val="22"/>
        </w:rPr>
        <w:t>improve</w:t>
      </w:r>
      <w:proofErr w:type="spellEnd"/>
      <w:r>
        <w:rPr>
          <w:rFonts w:ascii="Arial" w:hAnsi="Arial" w:cs="Arial"/>
          <w:sz w:val="22"/>
          <w:szCs w:val="22"/>
        </w:rPr>
        <w:t xml:space="preserve"> institucional </w:t>
      </w:r>
      <w:proofErr w:type="spellStart"/>
      <w:r>
        <w:rPr>
          <w:rFonts w:ascii="Arial" w:hAnsi="Arial" w:cs="Arial"/>
          <w:sz w:val="22"/>
          <w:szCs w:val="22"/>
        </w:rPr>
        <w:t>practices</w:t>
      </w:r>
      <w:proofErr w:type="spellEnd"/>
      <w:r>
        <w:rPr>
          <w:rFonts w:ascii="Arial" w:hAnsi="Arial" w:cs="Arial"/>
          <w:sz w:val="22"/>
          <w:szCs w:val="22"/>
        </w:rPr>
        <w:t xml:space="preserve"> and policies </w:t>
      </w:r>
      <w:proofErr w:type="spellStart"/>
      <w:r>
        <w:rPr>
          <w:rFonts w:ascii="Arial" w:hAnsi="Arial" w:cs="Arial"/>
          <w:sz w:val="22"/>
          <w:szCs w:val="22"/>
        </w:rPr>
        <w:t>concerning</w:t>
      </w:r>
      <w:proofErr w:type="spellEnd"/>
      <w:r>
        <w:rPr>
          <w:rFonts w:ascii="Arial" w:hAnsi="Arial" w:cs="Arial"/>
          <w:sz w:val="22"/>
          <w:szCs w:val="22"/>
        </w:rPr>
        <w:t xml:space="preserve"> </w:t>
      </w:r>
      <w:proofErr w:type="spellStart"/>
      <w:r>
        <w:rPr>
          <w:rFonts w:ascii="Arial" w:hAnsi="Arial" w:cs="Arial"/>
          <w:sz w:val="22"/>
          <w:szCs w:val="22"/>
        </w:rPr>
        <w:t>recruiting</w:t>
      </w:r>
      <w:proofErr w:type="spellEnd"/>
      <w:r>
        <w:rPr>
          <w:rFonts w:ascii="Arial" w:hAnsi="Arial" w:cs="Arial"/>
          <w:sz w:val="22"/>
          <w:szCs w:val="22"/>
        </w:rPr>
        <w:t xml:space="preserve"> of </w:t>
      </w:r>
      <w:proofErr w:type="spellStart"/>
      <w:r>
        <w:rPr>
          <w:rFonts w:ascii="Arial" w:hAnsi="Arial" w:cs="Arial"/>
          <w:sz w:val="22"/>
          <w:szCs w:val="22"/>
        </w:rPr>
        <w:t>researchers</w:t>
      </w:r>
      <w:proofErr w:type="spellEnd"/>
      <w:r>
        <w:rPr>
          <w:rFonts w:ascii="Arial" w:hAnsi="Arial" w:cs="Arial"/>
          <w:sz w:val="22"/>
          <w:szCs w:val="22"/>
        </w:rPr>
        <w:t xml:space="preserve"> </w:t>
      </w:r>
      <w:proofErr w:type="spellStart"/>
      <w:r>
        <w:rPr>
          <w:rFonts w:ascii="Arial" w:hAnsi="Arial" w:cs="Arial"/>
          <w:sz w:val="22"/>
          <w:szCs w:val="22"/>
        </w:rPr>
        <w:t>aligned</w:t>
      </w:r>
      <w:proofErr w:type="spellEnd"/>
      <w:r>
        <w:rPr>
          <w:rFonts w:ascii="Arial" w:hAnsi="Arial" w:cs="Arial"/>
          <w:sz w:val="22"/>
          <w:szCs w:val="22"/>
        </w:rPr>
        <w:t xml:space="preserve"> </w:t>
      </w:r>
      <w:proofErr w:type="spellStart"/>
      <w:r>
        <w:rPr>
          <w:rFonts w:ascii="Arial" w:hAnsi="Arial" w:cs="Arial"/>
          <w:sz w:val="22"/>
          <w:szCs w:val="22"/>
        </w:rPr>
        <w:t>with</w:t>
      </w:r>
      <w:proofErr w:type="spellEnd"/>
      <w:r>
        <w:rPr>
          <w:rFonts w:ascii="Arial" w:hAnsi="Arial" w:cs="Arial"/>
          <w:sz w:val="22"/>
          <w:szCs w:val="22"/>
        </w:rPr>
        <w:t xml:space="preserve"> </w:t>
      </w:r>
      <w:proofErr w:type="spellStart"/>
      <w:r>
        <w:rPr>
          <w:rFonts w:ascii="Arial" w:hAnsi="Arial" w:cs="Arial"/>
          <w:sz w:val="22"/>
          <w:szCs w:val="22"/>
        </w:rPr>
        <w:t>the</w:t>
      </w:r>
      <w:proofErr w:type="spellEnd"/>
      <w:r>
        <w:rPr>
          <w:rFonts w:ascii="Arial" w:hAnsi="Arial" w:cs="Arial"/>
          <w:sz w:val="22"/>
          <w:szCs w:val="22"/>
        </w:rPr>
        <w:t xml:space="preserve"> UPF </w:t>
      </w:r>
      <w:proofErr w:type="spellStart"/>
      <w:r>
        <w:rPr>
          <w:rFonts w:ascii="Arial" w:hAnsi="Arial" w:cs="Arial"/>
          <w:sz w:val="22"/>
          <w:szCs w:val="22"/>
        </w:rPr>
        <w:t>commitmment</w:t>
      </w:r>
      <w:proofErr w:type="spellEnd"/>
      <w:r>
        <w:rPr>
          <w:rFonts w:ascii="Arial" w:hAnsi="Arial" w:cs="Arial"/>
          <w:sz w:val="22"/>
          <w:szCs w:val="22"/>
        </w:rPr>
        <w:t xml:space="preserve"> to </w:t>
      </w:r>
      <w:proofErr w:type="spellStart"/>
      <w:r>
        <w:rPr>
          <w:rFonts w:ascii="Arial" w:hAnsi="Arial" w:cs="Arial"/>
          <w:sz w:val="22"/>
          <w:szCs w:val="22"/>
        </w:rPr>
        <w:t>the</w:t>
      </w:r>
      <w:proofErr w:type="spellEnd"/>
      <w:r>
        <w:rPr>
          <w:rFonts w:ascii="Arial" w:hAnsi="Arial" w:cs="Arial"/>
          <w:sz w:val="22"/>
          <w:szCs w:val="22"/>
        </w:rPr>
        <w:t xml:space="preserve"> </w:t>
      </w:r>
      <w:proofErr w:type="spellStart"/>
      <w:r>
        <w:rPr>
          <w:rFonts w:ascii="Arial" w:hAnsi="Arial" w:cs="Arial"/>
          <w:sz w:val="22"/>
          <w:szCs w:val="22"/>
        </w:rPr>
        <w:t>Human</w:t>
      </w:r>
      <w:proofErr w:type="spellEnd"/>
      <w:r>
        <w:rPr>
          <w:rFonts w:ascii="Arial" w:hAnsi="Arial" w:cs="Arial"/>
          <w:sz w:val="22"/>
          <w:szCs w:val="22"/>
        </w:rPr>
        <w:t xml:space="preserve"> Resources in </w:t>
      </w:r>
      <w:proofErr w:type="spellStart"/>
      <w:r>
        <w:rPr>
          <w:rFonts w:ascii="Arial" w:hAnsi="Arial" w:cs="Arial"/>
          <w:sz w:val="22"/>
          <w:szCs w:val="22"/>
        </w:rPr>
        <w:t>Research</w:t>
      </w:r>
      <w:proofErr w:type="spellEnd"/>
      <w:r>
        <w:rPr>
          <w:rFonts w:ascii="Arial" w:hAnsi="Arial" w:cs="Arial"/>
          <w:sz w:val="22"/>
          <w:szCs w:val="22"/>
        </w:rPr>
        <w:t xml:space="preserve"> (Charter &amp; </w:t>
      </w:r>
      <w:proofErr w:type="spellStart"/>
      <w:r>
        <w:rPr>
          <w:rFonts w:ascii="Arial" w:hAnsi="Arial" w:cs="Arial"/>
          <w:sz w:val="22"/>
          <w:szCs w:val="22"/>
        </w:rPr>
        <w:t>Code</w:t>
      </w:r>
      <w:proofErr w:type="spellEnd"/>
      <w:r>
        <w:rPr>
          <w:rFonts w:ascii="Arial" w:hAnsi="Arial" w:cs="Arial"/>
          <w:sz w:val="22"/>
          <w:szCs w:val="22"/>
        </w:rPr>
        <w:t xml:space="preserve"> and OTM-R)</w:t>
      </w:r>
      <w:r w:rsidR="00C87F92">
        <w:rPr>
          <w:rFonts w:ascii="Arial" w:hAnsi="Arial" w:cs="Arial"/>
          <w:sz w:val="22"/>
          <w:szCs w:val="22"/>
        </w:rPr>
        <w:t xml:space="preserve"> and to set up a new </w:t>
      </w:r>
      <w:proofErr w:type="spellStart"/>
      <w:r w:rsidR="00C87F92">
        <w:rPr>
          <w:rFonts w:ascii="Arial" w:hAnsi="Arial" w:cs="Arial"/>
          <w:sz w:val="22"/>
          <w:szCs w:val="22"/>
        </w:rPr>
        <w:t>tenure-track</w:t>
      </w:r>
      <w:proofErr w:type="spellEnd"/>
      <w:r w:rsidR="00C87F92">
        <w:rPr>
          <w:rFonts w:ascii="Arial" w:hAnsi="Arial" w:cs="Arial"/>
          <w:sz w:val="22"/>
          <w:szCs w:val="22"/>
        </w:rPr>
        <w:t xml:space="preserve"> </w:t>
      </w:r>
      <w:proofErr w:type="spellStart"/>
      <w:r w:rsidR="00C87F92">
        <w:rPr>
          <w:rFonts w:ascii="Arial" w:hAnsi="Arial" w:cs="Arial"/>
          <w:sz w:val="22"/>
          <w:szCs w:val="22"/>
        </w:rPr>
        <w:t>policy</w:t>
      </w:r>
      <w:proofErr w:type="spellEnd"/>
      <w:r w:rsidR="00C87F92">
        <w:rPr>
          <w:rFonts w:ascii="Arial" w:hAnsi="Arial" w:cs="Arial"/>
          <w:sz w:val="22"/>
          <w:szCs w:val="22"/>
        </w:rPr>
        <w:t xml:space="preserve"> to </w:t>
      </w:r>
      <w:proofErr w:type="spellStart"/>
      <w:r w:rsidR="00C87F92">
        <w:rPr>
          <w:rFonts w:ascii="Arial" w:hAnsi="Arial" w:cs="Arial"/>
          <w:sz w:val="22"/>
          <w:szCs w:val="22"/>
        </w:rPr>
        <w:t>retain</w:t>
      </w:r>
      <w:proofErr w:type="spellEnd"/>
      <w:r w:rsidR="00C87F92">
        <w:rPr>
          <w:rFonts w:ascii="Arial" w:hAnsi="Arial" w:cs="Arial"/>
          <w:sz w:val="22"/>
          <w:szCs w:val="22"/>
        </w:rPr>
        <w:t xml:space="preserve"> </w:t>
      </w:r>
      <w:proofErr w:type="spellStart"/>
      <w:r w:rsidR="00C87F92">
        <w:rPr>
          <w:rFonts w:ascii="Arial" w:hAnsi="Arial" w:cs="Arial"/>
          <w:sz w:val="22"/>
          <w:szCs w:val="22"/>
        </w:rPr>
        <w:t>the</w:t>
      </w:r>
      <w:proofErr w:type="spellEnd"/>
      <w:r w:rsidR="00C87F92">
        <w:rPr>
          <w:rFonts w:ascii="Arial" w:hAnsi="Arial" w:cs="Arial"/>
          <w:sz w:val="22"/>
          <w:szCs w:val="22"/>
        </w:rPr>
        <w:t xml:space="preserve"> best talents</w:t>
      </w:r>
      <w:r>
        <w:rPr>
          <w:rFonts w:ascii="Arial" w:hAnsi="Arial" w:cs="Arial"/>
          <w:sz w:val="22"/>
          <w:szCs w:val="22"/>
        </w:rPr>
        <w:t>.</w:t>
      </w:r>
    </w:p>
    <w:p w:rsidR="00F16AB2" w:rsidRPr="00CD4867" w:rsidRDefault="00F16AB2" w:rsidP="0033720D">
      <w:pPr>
        <w:shd w:val="clear" w:color="auto" w:fill="FFFFFF"/>
        <w:spacing w:before="120" w:line="276" w:lineRule="auto"/>
        <w:jc w:val="both"/>
        <w:rPr>
          <w:lang w:val="en-US"/>
        </w:rPr>
      </w:pPr>
      <w:r>
        <w:rPr>
          <w:rFonts w:ascii="Arial" w:hAnsi="Arial" w:cs="Arial"/>
          <w:sz w:val="22"/>
          <w:szCs w:val="22"/>
        </w:rPr>
        <w:t xml:space="preserve">For </w:t>
      </w:r>
      <w:proofErr w:type="spellStart"/>
      <w:r>
        <w:rPr>
          <w:rFonts w:ascii="Arial" w:hAnsi="Arial" w:cs="Arial"/>
          <w:sz w:val="22"/>
          <w:szCs w:val="22"/>
        </w:rPr>
        <w:t>further</w:t>
      </w:r>
      <w:proofErr w:type="spellEnd"/>
      <w:r>
        <w:rPr>
          <w:rFonts w:ascii="Arial" w:hAnsi="Arial" w:cs="Arial"/>
          <w:sz w:val="22"/>
          <w:szCs w:val="22"/>
        </w:rPr>
        <w:t xml:space="preserve"> </w:t>
      </w:r>
      <w:proofErr w:type="spellStart"/>
      <w:r>
        <w:rPr>
          <w:rFonts w:ascii="Arial" w:hAnsi="Arial" w:cs="Arial"/>
          <w:sz w:val="22"/>
          <w:szCs w:val="22"/>
        </w:rPr>
        <w:t>details</w:t>
      </w:r>
      <w:proofErr w:type="spellEnd"/>
      <w:r>
        <w:rPr>
          <w:rFonts w:ascii="Arial" w:hAnsi="Arial" w:cs="Arial"/>
          <w:sz w:val="22"/>
          <w:szCs w:val="22"/>
        </w:rPr>
        <w:t xml:space="preserve">, </w:t>
      </w:r>
      <w:proofErr w:type="spellStart"/>
      <w:r>
        <w:rPr>
          <w:rFonts w:ascii="Arial" w:hAnsi="Arial" w:cs="Arial"/>
          <w:sz w:val="22"/>
          <w:szCs w:val="22"/>
        </w:rPr>
        <w:t>please</w:t>
      </w:r>
      <w:proofErr w:type="spellEnd"/>
      <w:r>
        <w:rPr>
          <w:rFonts w:ascii="Arial" w:hAnsi="Arial" w:cs="Arial"/>
          <w:sz w:val="22"/>
          <w:szCs w:val="22"/>
        </w:rPr>
        <w:t xml:space="preserve"> </w:t>
      </w:r>
      <w:proofErr w:type="spellStart"/>
      <w:r>
        <w:rPr>
          <w:rFonts w:ascii="Arial" w:hAnsi="Arial" w:cs="Arial"/>
          <w:sz w:val="22"/>
          <w:szCs w:val="22"/>
        </w:rPr>
        <w:t>contact</w:t>
      </w:r>
      <w:proofErr w:type="spellEnd"/>
      <w:r>
        <w:rPr>
          <w:rFonts w:ascii="Arial" w:hAnsi="Arial" w:cs="Arial"/>
          <w:sz w:val="22"/>
          <w:szCs w:val="22"/>
        </w:rPr>
        <w:t xml:space="preserve"> Universitat Pompeu Fabra, Ms. Eva Martin, </w:t>
      </w:r>
      <w:hyperlink r:id="rId16" w:history="1">
        <w:r w:rsidRPr="0001315C">
          <w:rPr>
            <w:rStyle w:val="Hipervnculo"/>
            <w:rFonts w:ascii="Arial" w:hAnsi="Arial" w:cs="Arial"/>
            <w:sz w:val="22"/>
            <w:szCs w:val="22"/>
          </w:rPr>
          <w:t>eva.martin@upf.edu</w:t>
        </w:r>
      </w:hyperlink>
      <w:r>
        <w:rPr>
          <w:rFonts w:ascii="Arial" w:hAnsi="Arial" w:cs="Arial"/>
          <w:sz w:val="22"/>
          <w:szCs w:val="22"/>
        </w:rPr>
        <w:t>, Tel. +34.935 422 140.</w:t>
      </w:r>
    </w:p>
    <w:sectPr w:rsidR="00F16AB2" w:rsidRPr="00CD4867" w:rsidSect="00CD4867">
      <w:pgSz w:w="11906" w:h="16838"/>
      <w:pgMar w:top="1247" w:right="1701" w:bottom="124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Droid Sans Fallback">
    <w:altName w:val="Times New Roman"/>
    <w:charset w:val="00"/>
    <w:family w:val="auto"/>
    <w:pitch w:val="variable"/>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511B4F"/>
    <w:multiLevelType w:val="multilevel"/>
    <w:tmpl w:val="DEBC6994"/>
    <w:lvl w:ilvl="0">
      <w:start w:val="1"/>
      <w:numFmt w:val="decimal"/>
      <w:pStyle w:val="Estilo1Templ"/>
      <w:lvlText w:val="%1"/>
      <w:lvlJc w:val="left"/>
      <w:pPr>
        <w:tabs>
          <w:tab w:val="num" w:pos="432"/>
        </w:tabs>
        <w:ind w:left="432" w:hanging="432"/>
      </w:pPr>
      <w:rPr>
        <w:rFonts w:hint="default"/>
      </w:rPr>
    </w:lvl>
    <w:lvl w:ilvl="1">
      <w:start w:val="1"/>
      <w:numFmt w:val="decimal"/>
      <w:pStyle w:val="Estilo2Templ"/>
      <w:lvlText w:val="%1.%2"/>
      <w:lvlJc w:val="left"/>
      <w:pPr>
        <w:tabs>
          <w:tab w:val="num" w:pos="718"/>
        </w:tabs>
        <w:ind w:left="718" w:hanging="576"/>
      </w:pPr>
      <w:rPr>
        <w:rFonts w:hint="default"/>
      </w:rPr>
    </w:lvl>
    <w:lvl w:ilvl="2">
      <w:start w:val="1"/>
      <w:numFmt w:val="decimal"/>
      <w:lvlText w:val="%1.%2.%3"/>
      <w:lvlJc w:val="left"/>
      <w:pPr>
        <w:tabs>
          <w:tab w:val="num" w:pos="720"/>
        </w:tabs>
        <w:ind w:left="720" w:hanging="720"/>
      </w:pPr>
      <w:rPr>
        <w:rFonts w:hint="default"/>
        <w:b/>
        <w:bCs/>
        <w:i/>
        <w:iCs/>
        <w:sz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6CEA25C7"/>
    <w:multiLevelType w:val="hybridMultilevel"/>
    <w:tmpl w:val="145E9C00"/>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nsid w:val="70941E73"/>
    <w:multiLevelType w:val="multilevel"/>
    <w:tmpl w:val="EDE4FF1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Estilo3temp"/>
      <w:lvlText w:val="%1.%2.%3"/>
      <w:lvlJc w:val="left"/>
      <w:pPr>
        <w:tabs>
          <w:tab w:val="num" w:pos="3414"/>
        </w:tabs>
        <w:ind w:left="3414" w:hanging="720"/>
      </w:pPr>
      <w:rPr>
        <w:b/>
        <w:bCs/>
        <w:i w:val="0"/>
        <w:iCs/>
        <w:sz w:val="20"/>
      </w:rPr>
    </w:lvl>
    <w:lvl w:ilvl="3">
      <w:start w:val="1"/>
      <w:numFmt w:val="decimal"/>
      <w:pStyle w:val="Estilo4temp"/>
      <w:lvlText w:val="%1.%2.%3.%4"/>
      <w:lvlJc w:val="left"/>
      <w:pPr>
        <w:tabs>
          <w:tab w:val="num" w:pos="3842"/>
        </w:tabs>
        <w:ind w:left="3842"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0"/>
  </w:num>
  <w:num w:numId="2">
    <w:abstractNumId w:val="0"/>
  </w:num>
  <w:num w:numId="3">
    <w:abstractNumId w:val="2"/>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F41385"/>
    <w:rsid w:val="0002318C"/>
    <w:rsid w:val="000437FE"/>
    <w:rsid w:val="000A72BC"/>
    <w:rsid w:val="000B50DA"/>
    <w:rsid w:val="000D48DB"/>
    <w:rsid w:val="0012245E"/>
    <w:rsid w:val="0014711C"/>
    <w:rsid w:val="00177B89"/>
    <w:rsid w:val="0021211E"/>
    <w:rsid w:val="00213390"/>
    <w:rsid w:val="00217C0A"/>
    <w:rsid w:val="00227430"/>
    <w:rsid w:val="002747C1"/>
    <w:rsid w:val="002C68EB"/>
    <w:rsid w:val="002F1AF6"/>
    <w:rsid w:val="0033720D"/>
    <w:rsid w:val="0036247A"/>
    <w:rsid w:val="003732B8"/>
    <w:rsid w:val="00386362"/>
    <w:rsid w:val="003C13C6"/>
    <w:rsid w:val="003D76FE"/>
    <w:rsid w:val="003E4F08"/>
    <w:rsid w:val="00477525"/>
    <w:rsid w:val="004B7326"/>
    <w:rsid w:val="005329EF"/>
    <w:rsid w:val="005852A5"/>
    <w:rsid w:val="005C1C3D"/>
    <w:rsid w:val="00645489"/>
    <w:rsid w:val="006C4261"/>
    <w:rsid w:val="007A567B"/>
    <w:rsid w:val="007E3050"/>
    <w:rsid w:val="00872FC2"/>
    <w:rsid w:val="00990050"/>
    <w:rsid w:val="009C330D"/>
    <w:rsid w:val="009E0740"/>
    <w:rsid w:val="00A15D79"/>
    <w:rsid w:val="00A2755A"/>
    <w:rsid w:val="00AF0717"/>
    <w:rsid w:val="00C06C5D"/>
    <w:rsid w:val="00C138FA"/>
    <w:rsid w:val="00C44D66"/>
    <w:rsid w:val="00C87F92"/>
    <w:rsid w:val="00CD4867"/>
    <w:rsid w:val="00CE426B"/>
    <w:rsid w:val="00D75421"/>
    <w:rsid w:val="00E00C1A"/>
    <w:rsid w:val="00E231B7"/>
    <w:rsid w:val="00E44DE4"/>
    <w:rsid w:val="00E67F1C"/>
    <w:rsid w:val="00F06BDE"/>
    <w:rsid w:val="00F16AB2"/>
    <w:rsid w:val="00F41385"/>
    <w:rsid w:val="00F56A97"/>
    <w:rsid w:val="00FD3FD4"/>
    <w:rsid w:val="00FD64A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ks-Dev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1385"/>
    <w:rPr>
      <w:sz w:val="24"/>
      <w:szCs w:val="24"/>
      <w:lang w:val="ca-ES" w:bidi="ar-SA"/>
    </w:rPr>
  </w:style>
  <w:style w:type="paragraph" w:styleId="Ttulo1">
    <w:name w:val="heading 1"/>
    <w:basedOn w:val="Normal"/>
    <w:next w:val="Normal"/>
    <w:link w:val="Ttulo1Car"/>
    <w:qFormat/>
    <w:rsid w:val="002F1AF6"/>
    <w:pPr>
      <w:keepNext/>
      <w:spacing w:before="240" w:after="60"/>
      <w:outlineLvl w:val="0"/>
    </w:pPr>
    <w:rPr>
      <w:rFonts w:ascii="Arial" w:hAnsi="Arial" w:cs="Arial"/>
      <w:b/>
      <w:bCs/>
      <w:kern w:val="32"/>
      <w:sz w:val="32"/>
      <w:szCs w:val="32"/>
    </w:rPr>
  </w:style>
  <w:style w:type="paragraph" w:styleId="Ttulo2">
    <w:name w:val="heading 2"/>
    <w:aliases w:val="TEXT"/>
    <w:basedOn w:val="Normal"/>
    <w:link w:val="Ttulo2Car"/>
    <w:qFormat/>
    <w:rsid w:val="002F1AF6"/>
    <w:pPr>
      <w:spacing w:before="100" w:beforeAutospacing="1" w:after="100" w:afterAutospacing="1" w:line="336" w:lineRule="atLeast"/>
      <w:outlineLvl w:val="1"/>
    </w:pPr>
    <w:rPr>
      <w:b/>
      <w:bCs/>
      <w:color w:val="202020"/>
      <w:lang w:val="es-ES"/>
    </w:rPr>
  </w:style>
  <w:style w:type="paragraph" w:styleId="Ttulo3">
    <w:name w:val="heading 3"/>
    <w:basedOn w:val="Normal"/>
    <w:next w:val="Normal"/>
    <w:link w:val="Ttulo3Car"/>
    <w:qFormat/>
    <w:rsid w:val="002F1AF6"/>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rsid w:val="002F1AF6"/>
    <w:pPr>
      <w:keepNext/>
      <w:jc w:val="center"/>
      <w:outlineLvl w:val="3"/>
    </w:pPr>
    <w:rPr>
      <w:rFonts w:ascii="Arial Black" w:hAnsi="Arial Black"/>
      <w:sz w:val="40"/>
      <w:lang w:val="en-GB"/>
    </w:rPr>
  </w:style>
  <w:style w:type="paragraph" w:styleId="Ttulo5">
    <w:name w:val="heading 5"/>
    <w:aliases w:val="5H"/>
    <w:basedOn w:val="Normal"/>
    <w:next w:val="Normal"/>
    <w:link w:val="Ttulo5Car"/>
    <w:qFormat/>
    <w:rsid w:val="002F1AF6"/>
    <w:pPr>
      <w:keepNext/>
      <w:jc w:val="center"/>
      <w:outlineLvl w:val="4"/>
    </w:pPr>
    <w:rPr>
      <w:rFonts w:ascii="Arial" w:hAnsi="Arial" w:cs="Arial"/>
      <w:b/>
      <w:bCs/>
      <w:sz w:val="20"/>
      <w:lang w:val="en-GB"/>
    </w:rPr>
  </w:style>
  <w:style w:type="paragraph" w:styleId="Ttulo6">
    <w:name w:val="heading 6"/>
    <w:basedOn w:val="Normal"/>
    <w:next w:val="Normal"/>
    <w:link w:val="Ttulo6Car"/>
    <w:qFormat/>
    <w:rsid w:val="002F1AF6"/>
    <w:pPr>
      <w:keepNext/>
      <w:jc w:val="center"/>
      <w:outlineLvl w:val="5"/>
    </w:pPr>
    <w:rPr>
      <w:rFonts w:ascii="Arial" w:hAnsi="Arial" w:cs="Arial"/>
      <w:b/>
      <w:bCs/>
      <w:sz w:val="18"/>
      <w:lang w:val="en-GB"/>
    </w:rPr>
  </w:style>
  <w:style w:type="paragraph" w:styleId="Ttulo7">
    <w:name w:val="heading 7"/>
    <w:basedOn w:val="Normal"/>
    <w:next w:val="Normal"/>
    <w:link w:val="Ttulo7Car"/>
    <w:qFormat/>
    <w:rsid w:val="002F1AF6"/>
    <w:pPr>
      <w:spacing w:before="240" w:after="60"/>
      <w:outlineLvl w:val="6"/>
    </w:pPr>
  </w:style>
  <w:style w:type="paragraph" w:styleId="Ttulo8">
    <w:name w:val="heading 8"/>
    <w:basedOn w:val="Normal"/>
    <w:next w:val="Normal"/>
    <w:link w:val="Ttulo8Car"/>
    <w:qFormat/>
    <w:rsid w:val="002F1AF6"/>
    <w:pPr>
      <w:keepNext/>
      <w:outlineLvl w:val="7"/>
    </w:pPr>
    <w:rPr>
      <w:b/>
      <w:szCs w:val="20"/>
      <w:lang w:val="en-GB"/>
    </w:rPr>
  </w:style>
  <w:style w:type="paragraph" w:styleId="Ttulo9">
    <w:name w:val="heading 9"/>
    <w:basedOn w:val="Normal"/>
    <w:next w:val="Sangranormal"/>
    <w:link w:val="Ttulo9Car"/>
    <w:qFormat/>
    <w:rsid w:val="002F1AF6"/>
    <w:pPr>
      <w:spacing w:before="120"/>
      <w:outlineLvl w:val="8"/>
    </w:pPr>
    <w:rPr>
      <w:i/>
      <w:sz w:val="20"/>
      <w:szCs w:val="20"/>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2F1AF6"/>
    <w:rPr>
      <w:rFonts w:ascii="Arial" w:hAnsi="Arial" w:cs="Arial"/>
      <w:b/>
      <w:bCs/>
      <w:kern w:val="32"/>
      <w:sz w:val="32"/>
      <w:szCs w:val="32"/>
      <w:lang w:val="de-DE" w:eastAsia="es-ES" w:bidi="ar-SA"/>
    </w:rPr>
  </w:style>
  <w:style w:type="character" w:customStyle="1" w:styleId="Ttulo2Car">
    <w:name w:val="Título 2 Car"/>
    <w:aliases w:val="TEXT Car"/>
    <w:basedOn w:val="Fuentedeprrafopredeter"/>
    <w:link w:val="Ttulo2"/>
    <w:rsid w:val="002F1AF6"/>
    <w:rPr>
      <w:b/>
      <w:bCs/>
      <w:color w:val="202020"/>
      <w:sz w:val="24"/>
      <w:szCs w:val="24"/>
      <w:lang w:bidi="ar-SA"/>
    </w:rPr>
  </w:style>
  <w:style w:type="character" w:customStyle="1" w:styleId="Ttulo3Car">
    <w:name w:val="Título 3 Car"/>
    <w:basedOn w:val="Fuentedeprrafopredeter"/>
    <w:link w:val="Ttulo3"/>
    <w:rsid w:val="002F1AF6"/>
    <w:rPr>
      <w:rFonts w:ascii="Arial" w:hAnsi="Arial" w:cs="Arial"/>
      <w:b/>
      <w:bCs/>
      <w:sz w:val="26"/>
      <w:szCs w:val="26"/>
      <w:lang w:val="de-DE" w:bidi="ar-SA"/>
    </w:rPr>
  </w:style>
  <w:style w:type="character" w:customStyle="1" w:styleId="Ttulo4Car">
    <w:name w:val="Título 4 Car"/>
    <w:basedOn w:val="Fuentedeprrafopredeter"/>
    <w:link w:val="Ttulo4"/>
    <w:rsid w:val="002F1AF6"/>
    <w:rPr>
      <w:rFonts w:ascii="Arial Black" w:hAnsi="Arial Black"/>
      <w:sz w:val="40"/>
      <w:szCs w:val="24"/>
      <w:lang w:val="en-GB" w:bidi="ar-SA"/>
    </w:rPr>
  </w:style>
  <w:style w:type="character" w:customStyle="1" w:styleId="Ttulo5Car">
    <w:name w:val="Título 5 Car"/>
    <w:aliases w:val="5H Car"/>
    <w:basedOn w:val="Fuentedeprrafopredeter"/>
    <w:link w:val="Ttulo5"/>
    <w:rsid w:val="002F1AF6"/>
    <w:rPr>
      <w:rFonts w:ascii="Arial" w:hAnsi="Arial" w:cs="Arial"/>
      <w:b/>
      <w:bCs/>
      <w:szCs w:val="24"/>
      <w:lang w:val="en-GB" w:bidi="ar-SA"/>
    </w:rPr>
  </w:style>
  <w:style w:type="character" w:customStyle="1" w:styleId="Ttulo6Car">
    <w:name w:val="Título 6 Car"/>
    <w:basedOn w:val="Fuentedeprrafopredeter"/>
    <w:link w:val="Ttulo6"/>
    <w:rsid w:val="002F1AF6"/>
    <w:rPr>
      <w:rFonts w:ascii="Arial" w:hAnsi="Arial" w:cs="Arial"/>
      <w:b/>
      <w:bCs/>
      <w:sz w:val="18"/>
      <w:szCs w:val="24"/>
      <w:lang w:val="en-GB" w:bidi="ar-SA"/>
    </w:rPr>
  </w:style>
  <w:style w:type="character" w:customStyle="1" w:styleId="Ttulo7Car">
    <w:name w:val="Título 7 Car"/>
    <w:basedOn w:val="Fuentedeprrafopredeter"/>
    <w:link w:val="Ttulo7"/>
    <w:rsid w:val="002F1AF6"/>
    <w:rPr>
      <w:sz w:val="24"/>
      <w:szCs w:val="24"/>
      <w:lang w:val="de-DE" w:bidi="ar-SA"/>
    </w:rPr>
  </w:style>
  <w:style w:type="character" w:customStyle="1" w:styleId="Ttulo8Car">
    <w:name w:val="Título 8 Car"/>
    <w:basedOn w:val="Fuentedeprrafopredeter"/>
    <w:link w:val="Ttulo8"/>
    <w:rsid w:val="002F1AF6"/>
    <w:rPr>
      <w:b/>
      <w:sz w:val="24"/>
      <w:lang w:val="en-GB" w:bidi="ar-SA"/>
    </w:rPr>
  </w:style>
  <w:style w:type="character" w:customStyle="1" w:styleId="Ttulo9Car">
    <w:name w:val="Título 9 Car"/>
    <w:basedOn w:val="Fuentedeprrafopredeter"/>
    <w:link w:val="Ttulo9"/>
    <w:rsid w:val="002F1AF6"/>
    <w:rPr>
      <w:i/>
      <w:lang w:val="en-GB" w:bidi="ar-SA"/>
    </w:rPr>
  </w:style>
  <w:style w:type="paragraph" w:styleId="Sangranormal">
    <w:name w:val="Normal Indent"/>
    <w:basedOn w:val="Normal"/>
    <w:uiPriority w:val="99"/>
    <w:semiHidden/>
    <w:unhideWhenUsed/>
    <w:rsid w:val="002F1AF6"/>
    <w:pPr>
      <w:ind w:left="708"/>
    </w:pPr>
  </w:style>
  <w:style w:type="paragraph" w:styleId="Epgrafe">
    <w:name w:val="caption"/>
    <w:basedOn w:val="Normal"/>
    <w:next w:val="Normal"/>
    <w:qFormat/>
    <w:rsid w:val="002F1AF6"/>
    <w:pPr>
      <w:spacing w:after="120"/>
      <w:jc w:val="center"/>
    </w:pPr>
    <w:rPr>
      <w:rFonts w:ascii="Arial" w:hAnsi="Arial"/>
      <w:b/>
      <w:bCs/>
      <w:sz w:val="20"/>
      <w:szCs w:val="20"/>
      <w:lang w:eastAsia="de-DE"/>
    </w:rPr>
  </w:style>
  <w:style w:type="character" w:styleId="Textoennegrita">
    <w:name w:val="Strong"/>
    <w:qFormat/>
    <w:rsid w:val="002F1AF6"/>
    <w:rPr>
      <w:b/>
      <w:bCs/>
    </w:rPr>
  </w:style>
  <w:style w:type="character" w:styleId="nfasis">
    <w:name w:val="Emphasis"/>
    <w:qFormat/>
    <w:rsid w:val="002F1AF6"/>
    <w:rPr>
      <w:b/>
      <w:bCs/>
      <w:i w:val="0"/>
      <w:iCs w:val="0"/>
    </w:rPr>
  </w:style>
  <w:style w:type="paragraph" w:styleId="Prrafodelista">
    <w:name w:val="List Paragraph"/>
    <w:basedOn w:val="Normal"/>
    <w:uiPriority w:val="34"/>
    <w:qFormat/>
    <w:rsid w:val="002F1AF6"/>
    <w:pPr>
      <w:ind w:left="720"/>
      <w:contextualSpacing/>
    </w:pPr>
  </w:style>
  <w:style w:type="paragraph" w:styleId="TtulodeTDC">
    <w:name w:val="TOC Heading"/>
    <w:basedOn w:val="Ttulo1"/>
    <w:next w:val="Normal"/>
    <w:uiPriority w:val="39"/>
    <w:semiHidden/>
    <w:unhideWhenUsed/>
    <w:qFormat/>
    <w:rsid w:val="002F1AF6"/>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val="es-ES" w:eastAsia="en-US"/>
    </w:rPr>
  </w:style>
  <w:style w:type="paragraph" w:customStyle="1" w:styleId="Estilo1Templ">
    <w:name w:val="Estilo1_Templ"/>
    <w:basedOn w:val="Normal"/>
    <w:link w:val="Estilo1TemplCar1"/>
    <w:qFormat/>
    <w:rsid w:val="002F1AF6"/>
    <w:pPr>
      <w:numPr>
        <w:numId w:val="2"/>
      </w:numPr>
      <w:spacing w:before="120" w:after="120"/>
      <w:jc w:val="both"/>
    </w:pPr>
    <w:rPr>
      <w:rFonts w:ascii="Arial" w:hAnsi="Arial"/>
      <w:b/>
      <w:sz w:val="32"/>
      <w:szCs w:val="32"/>
      <w:lang w:val="en-GB" w:eastAsia="en-US"/>
    </w:rPr>
  </w:style>
  <w:style w:type="character" w:customStyle="1" w:styleId="Estilo1TemplCar1">
    <w:name w:val="Estilo1_Templ Car1"/>
    <w:link w:val="Estilo1Templ"/>
    <w:rsid w:val="002F1AF6"/>
    <w:rPr>
      <w:rFonts w:ascii="Arial" w:hAnsi="Arial"/>
      <w:b/>
      <w:sz w:val="32"/>
      <w:szCs w:val="32"/>
      <w:lang w:val="en-GB" w:eastAsia="en-US" w:bidi="ar-SA"/>
    </w:rPr>
  </w:style>
  <w:style w:type="paragraph" w:customStyle="1" w:styleId="Estilo2Templ">
    <w:name w:val="Estilo2_Templ"/>
    <w:basedOn w:val="Ttulo2"/>
    <w:qFormat/>
    <w:rsid w:val="002F1AF6"/>
    <w:pPr>
      <w:keepNext/>
      <w:numPr>
        <w:ilvl w:val="1"/>
        <w:numId w:val="2"/>
      </w:numPr>
      <w:spacing w:before="240" w:beforeAutospacing="0" w:after="120" w:afterAutospacing="0" w:line="240" w:lineRule="auto"/>
      <w:jc w:val="both"/>
    </w:pPr>
    <w:rPr>
      <w:rFonts w:ascii="Arial" w:hAnsi="Arial" w:cs="Arial"/>
      <w:i/>
      <w:color w:val="auto"/>
      <w:w w:val="99"/>
      <w:kern w:val="32"/>
      <w:sz w:val="28"/>
      <w:szCs w:val="28"/>
      <w:lang w:val="en-GB" w:eastAsia="en-US"/>
    </w:rPr>
  </w:style>
  <w:style w:type="paragraph" w:customStyle="1" w:styleId="Estilo3temp">
    <w:name w:val="Estilo3_temp"/>
    <w:basedOn w:val="Estilo1Templ"/>
    <w:qFormat/>
    <w:rsid w:val="002F1AF6"/>
    <w:pPr>
      <w:numPr>
        <w:ilvl w:val="2"/>
        <w:numId w:val="4"/>
      </w:numPr>
    </w:pPr>
    <w:rPr>
      <w:sz w:val="26"/>
      <w:szCs w:val="26"/>
    </w:rPr>
  </w:style>
  <w:style w:type="paragraph" w:customStyle="1" w:styleId="Estilo4temp">
    <w:name w:val="Estilo4_temp"/>
    <w:basedOn w:val="Estilo1Templ"/>
    <w:link w:val="Estilo4tempCar"/>
    <w:qFormat/>
    <w:rsid w:val="002F1AF6"/>
    <w:pPr>
      <w:numPr>
        <w:ilvl w:val="3"/>
        <w:numId w:val="4"/>
      </w:numPr>
    </w:pPr>
    <w:rPr>
      <w:b w:val="0"/>
      <w:i/>
      <w:sz w:val="24"/>
      <w:szCs w:val="24"/>
    </w:rPr>
  </w:style>
  <w:style w:type="character" w:customStyle="1" w:styleId="Estilo4tempCar">
    <w:name w:val="Estilo4_temp Car"/>
    <w:link w:val="Estilo4temp"/>
    <w:rsid w:val="002F1AF6"/>
    <w:rPr>
      <w:rFonts w:ascii="Arial" w:hAnsi="Arial"/>
      <w:i/>
      <w:sz w:val="24"/>
      <w:szCs w:val="24"/>
      <w:lang w:val="en-GB" w:eastAsia="en-US" w:bidi="ar-SA"/>
    </w:rPr>
  </w:style>
  <w:style w:type="table" w:styleId="Tablaconcuadrcula">
    <w:name w:val="Table Grid"/>
    <w:basedOn w:val="Tablanormal"/>
    <w:uiPriority w:val="59"/>
    <w:rsid w:val="00F413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F41385"/>
    <w:rPr>
      <w:rFonts w:ascii="Tahoma" w:hAnsi="Tahoma" w:cs="Tahoma"/>
      <w:sz w:val="16"/>
      <w:szCs w:val="16"/>
    </w:rPr>
  </w:style>
  <w:style w:type="character" w:customStyle="1" w:styleId="TextodegloboCar">
    <w:name w:val="Texto de globo Car"/>
    <w:basedOn w:val="Fuentedeprrafopredeter"/>
    <w:link w:val="Textodeglobo"/>
    <w:uiPriority w:val="99"/>
    <w:semiHidden/>
    <w:rsid w:val="00F41385"/>
    <w:rPr>
      <w:rFonts w:ascii="Tahoma" w:hAnsi="Tahoma" w:cs="Tahoma"/>
      <w:sz w:val="16"/>
      <w:szCs w:val="16"/>
      <w:lang w:val="ca-ES" w:bidi="ar-SA"/>
    </w:rPr>
  </w:style>
  <w:style w:type="character" w:styleId="Hipervnculo">
    <w:name w:val="Hyperlink"/>
    <w:basedOn w:val="Fuentedeprrafopredeter"/>
    <w:uiPriority w:val="99"/>
    <w:unhideWhenUsed/>
    <w:rsid w:val="005852A5"/>
    <w:rPr>
      <w:color w:val="0000FF" w:themeColor="hyperlink"/>
      <w:u w:val="single"/>
    </w:rPr>
  </w:style>
  <w:style w:type="paragraph" w:customStyle="1" w:styleId="Perdefecte">
    <w:name w:val="Per defecte"/>
    <w:rsid w:val="0021211E"/>
    <w:pPr>
      <w:tabs>
        <w:tab w:val="left" w:pos="708"/>
      </w:tabs>
      <w:suppressAutoHyphens/>
      <w:spacing w:after="200" w:line="276" w:lineRule="auto"/>
    </w:pPr>
    <w:rPr>
      <w:rFonts w:ascii="Calibri" w:eastAsia="Droid Sans Fallback" w:hAnsi="Calibri" w:cs="Calibri"/>
      <w:sz w:val="22"/>
      <w:szCs w:val="22"/>
      <w:lang w:val="ca-ES" w:eastAsia="en-US" w:bidi="ar-SA"/>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chart" Target="charts/chart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hart" Target="charts/chart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eva.martin@upf.edu" TargetMode="External"/><Relationship Id="rId1" Type="http://schemas.openxmlformats.org/officeDocument/2006/relationships/numbering" Target="numbering.xml"/><Relationship Id="rId6" Type="http://schemas.openxmlformats.org/officeDocument/2006/relationships/hyperlink" Target="http://www.upf.edu/upfellows" TargetMode="External"/><Relationship Id="rId11" Type="http://schemas.openxmlformats.org/officeDocument/2006/relationships/chart" Target="charts/chart2.xml"/><Relationship Id="rId5" Type="http://schemas.openxmlformats.org/officeDocument/2006/relationships/hyperlink" Target="http://www.upf.edu/upfellows" TargetMode="External"/><Relationship Id="rId15" Type="http://schemas.openxmlformats.org/officeDocument/2006/relationships/chart" Target="charts/chart6.xml"/><Relationship Id="rId10"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hyperlink" Target="http://ec.europa.eu/euraxess/index.cfm/rights/" TargetMode="External"/><Relationship Id="rId14" Type="http://schemas.openxmlformats.org/officeDocument/2006/relationships/chart" Target="charts/chart5.xml"/></Relationships>
</file>

<file path=word/charts/_rels/chart1.xml.rels><?xml version="1.0" encoding="UTF-8" standalone="yes"?>
<Relationships xmlns="http://schemas.openxmlformats.org/package/2006/relationships"><Relationship Id="rId1" Type="http://schemas.openxmlformats.org/officeDocument/2006/relationships/oleObject" Target="file:///\\CC-C1ED\CCD\FOLDERS\D_RECE\documents\EUROPA\COFUND\1st%20&amp;%202nd%20CALL\GRAPHS\TOTALgraphs%20selected%20UPfellows%201st%20call.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C-C1ED\CCD\FOLDERS\D_RECE\documents\EUROPA\COFUND\1st%20&amp;%202nd%20CALL\GRAPHS\TOTALgraphs%20selected%20UPfellows%201st%20call.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C-C1ED\CCD\FOLDERS\D_RECE\documents\EUROPA\COFUND\1st%20&amp;%202nd%20CALL\GRAPHS\TOTAL%20%20graph%20selected%20UPfellows%202nd%20call.xlsx"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C-C1ED\CCD\FOLDERS\D_RECE\documents\EUROPA\COFUND\DELIVERABLES\D2_1%20Evaluation%20and%20Selection%20Report\GR&#192;FICS\graphs%20selected%20UPfellows%202nd%20call.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C-C1ED\CCD\FOLDERS\D_RECE\documents\EUROPA\COFUND\3rd%20CALL\GRAPHS%20accepted%20FELLOWS\TOTAL%20%20graph%20selected%20UPfellows%203rd%20call.xlsx" TargetMode="External"/></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CC-C1ED\CCD\FOLDERS\D_RECE\documents\EUROPA\COFUND\3rd%20CALL\GRAPHS%20accepted%20FELLOWS\TOTAL%20%20graph%20selected%20UPfellows%203rd%20cal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s-ES"/>
  <c:chart>
    <c:title>
      <c:tx>
        <c:rich>
          <a:bodyPr/>
          <a:lstStyle/>
          <a:p>
            <a:pPr>
              <a:defRPr sz="1100"/>
            </a:pPr>
            <a:r>
              <a:rPr lang="en-US" sz="1050"/>
              <a:t>1st Call</a:t>
            </a:r>
            <a:r>
              <a:rPr lang="en-US" sz="1050" baseline="0"/>
              <a:t> </a:t>
            </a:r>
            <a:r>
              <a:rPr lang="en-US" sz="1050"/>
              <a:t>Nationalities </a:t>
            </a:r>
          </a:p>
        </c:rich>
      </c:tx>
      <c:layout>
        <c:manualLayout>
          <c:xMode val="edge"/>
          <c:yMode val="edge"/>
          <c:x val="0.20909590032102454"/>
          <c:y val="7.0950447350950532E-2"/>
        </c:manualLayout>
      </c:layout>
    </c:title>
    <c:view3D>
      <c:rotX val="30"/>
      <c:perspective val="30"/>
    </c:view3D>
    <c:plotArea>
      <c:layout>
        <c:manualLayout>
          <c:layoutTarget val="inner"/>
          <c:xMode val="edge"/>
          <c:yMode val="edge"/>
          <c:x val="8.36672475933809E-2"/>
          <c:y val="0.29831194303035224"/>
          <c:w val="0.82171070612731523"/>
          <c:h val="0.69572527812981211"/>
        </c:manualLayout>
      </c:layout>
      <c:pie3DChart>
        <c:varyColors val="1"/>
        <c:ser>
          <c:idx val="0"/>
          <c:order val="0"/>
          <c:dLbls>
            <c:dLbl>
              <c:idx val="0"/>
              <c:layout>
                <c:manualLayout>
                  <c:x val="-0.12915833985209574"/>
                  <c:y val="-0.1763682324428803"/>
                </c:manualLayout>
              </c:layout>
              <c:showCatName val="1"/>
              <c:showPercent val="1"/>
            </c:dLbl>
            <c:dLbl>
              <c:idx val="1"/>
              <c:layout>
                <c:manualLayout>
                  <c:x val="7.4461378871787484E-2"/>
                  <c:y val="-2.7209170934828809E-3"/>
                </c:manualLayout>
              </c:layout>
              <c:showCatName val="1"/>
              <c:showPercent val="1"/>
            </c:dLbl>
            <c:dLbl>
              <c:idx val="2"/>
              <c:layout>
                <c:manualLayout>
                  <c:x val="8.5415634303399005E-2"/>
                  <c:y val="-1.0828142357582398E-3"/>
                </c:manualLayout>
              </c:layout>
              <c:showCatName val="1"/>
              <c:showPercent val="1"/>
            </c:dLbl>
            <c:dLbl>
              <c:idx val="3"/>
              <c:layout>
                <c:manualLayout>
                  <c:x val="3.3867917245638452E-3"/>
                  <c:y val="3.4441528142315808E-3"/>
                </c:manualLayout>
              </c:layout>
              <c:showCatName val="1"/>
              <c:showPercent val="1"/>
            </c:dLbl>
            <c:dLbl>
              <c:idx val="4"/>
              <c:layout>
                <c:manualLayout>
                  <c:x val="-1.5233366450107502E-2"/>
                  <c:y val="-0.12165285050989039"/>
                </c:manualLayout>
              </c:layout>
              <c:showCatName val="1"/>
              <c:showPercent val="1"/>
            </c:dLbl>
            <c:dLbl>
              <c:idx val="5"/>
              <c:layout>
                <c:manualLayout>
                  <c:x val="3.9593658329473806E-2"/>
                  <c:y val="-3.7238990959463862E-2"/>
                </c:manualLayout>
              </c:layout>
              <c:showCatName val="1"/>
              <c:showPercent val="1"/>
            </c:dLbl>
            <c:dLbl>
              <c:idx val="6"/>
              <c:layout>
                <c:manualLayout>
                  <c:x val="0.10337519714634308"/>
                  <c:y val="4.9608798918329498E-2"/>
                </c:manualLayout>
              </c:layout>
              <c:tx>
                <c:rich>
                  <a:bodyPr/>
                  <a:lstStyle/>
                  <a:p>
                    <a:r>
                      <a:rPr lang="en-US" sz="850"/>
                      <a:t>Argentina</a:t>
                    </a:r>
                    <a:r>
                      <a:rPr lang="en-US"/>
                      <a:t>
10%</a:t>
                    </a:r>
                  </a:p>
                </c:rich>
              </c:tx>
              <c:showCatName val="1"/>
              <c:showPercent val="1"/>
            </c:dLbl>
            <c:showCatName val="1"/>
            <c:showPercent val="1"/>
          </c:dLbls>
          <c:cat>
            <c:strRef>
              <c:f>Hoja1!$B$36:$B$42</c:f>
              <c:strCache>
                <c:ptCount val="7"/>
                <c:pt idx="0">
                  <c:v>Spain</c:v>
                </c:pt>
                <c:pt idx="1">
                  <c:v>Italy</c:v>
                </c:pt>
                <c:pt idx="2">
                  <c:v>Germany</c:v>
                </c:pt>
                <c:pt idx="3">
                  <c:v>Greece</c:v>
                </c:pt>
                <c:pt idx="4">
                  <c:v>Israel</c:v>
                </c:pt>
                <c:pt idx="5">
                  <c:v>United States</c:v>
                </c:pt>
                <c:pt idx="6">
                  <c:v>Argentina</c:v>
                </c:pt>
              </c:strCache>
            </c:strRef>
          </c:cat>
          <c:val>
            <c:numRef>
              <c:f>Hoja1!$C$36:$C$42</c:f>
              <c:numCache>
                <c:formatCode>General</c:formatCode>
                <c:ptCount val="7"/>
                <c:pt idx="0">
                  <c:v>4</c:v>
                </c:pt>
                <c:pt idx="1">
                  <c:v>1</c:v>
                </c:pt>
                <c:pt idx="2">
                  <c:v>1</c:v>
                </c:pt>
                <c:pt idx="3">
                  <c:v>1</c:v>
                </c:pt>
                <c:pt idx="4">
                  <c:v>1</c:v>
                </c:pt>
                <c:pt idx="5">
                  <c:v>1</c:v>
                </c:pt>
                <c:pt idx="6">
                  <c:v>1</c:v>
                </c:pt>
              </c:numCache>
            </c:numRef>
          </c:val>
        </c:ser>
        <c:dLbls>
          <c:showCatName val="1"/>
          <c:showPercent val="1"/>
        </c:dLbls>
      </c:pie3DChart>
    </c:plotArea>
    <c:plotVisOnly val="1"/>
  </c:chart>
  <c:spPr>
    <a:ln>
      <a:noFill/>
    </a:ln>
  </c:spPr>
  <c:txPr>
    <a:bodyPr/>
    <a:lstStyle/>
    <a:p>
      <a:pPr>
        <a:defRPr sz="900"/>
      </a:pPr>
      <a:endParaRPr lang="es-E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s-ES"/>
  <c:style val="10"/>
  <c:chart>
    <c:title>
      <c:tx>
        <c:rich>
          <a:bodyPr/>
          <a:lstStyle/>
          <a:p>
            <a:pPr>
              <a:defRPr sz="1050"/>
            </a:pPr>
            <a:r>
              <a:rPr lang="es-ES" sz="1050"/>
              <a:t>1st Call</a:t>
            </a:r>
            <a:r>
              <a:rPr lang="es-ES" sz="1050" baseline="0"/>
              <a:t> </a:t>
            </a:r>
            <a:r>
              <a:rPr lang="es-ES" sz="1050"/>
              <a:t>Country of residence at the time of selection</a:t>
            </a:r>
          </a:p>
        </c:rich>
      </c:tx>
      <c:layout/>
    </c:title>
    <c:view3D>
      <c:rotX val="30"/>
      <c:perspective val="30"/>
    </c:view3D>
    <c:plotArea>
      <c:layout>
        <c:manualLayout>
          <c:layoutTarget val="inner"/>
          <c:xMode val="edge"/>
          <c:yMode val="edge"/>
          <c:x val="7.2427451060752879E-2"/>
          <c:y val="0.36362487127304038"/>
          <c:w val="0.77712726133562582"/>
          <c:h val="0.59500492541588035"/>
        </c:manualLayout>
      </c:layout>
      <c:pie3DChart>
        <c:varyColors val="1"/>
        <c:ser>
          <c:idx val="0"/>
          <c:order val="0"/>
          <c:dLbls>
            <c:dLbl>
              <c:idx val="0"/>
              <c:layout>
                <c:manualLayout>
                  <c:x val="-5.8841632098642474E-2"/>
                  <c:y val="2.9793702084964641E-2"/>
                </c:manualLayout>
              </c:layout>
              <c:tx>
                <c:rich>
                  <a:bodyPr/>
                  <a:lstStyle/>
                  <a:p>
                    <a:pPr>
                      <a:defRPr sz="900"/>
                    </a:pPr>
                    <a:r>
                      <a:rPr lang="en-US" sz="900"/>
                      <a:t>France 18%</a:t>
                    </a:r>
                  </a:p>
                </c:rich>
              </c:tx>
              <c:spPr/>
              <c:showPercent val="1"/>
            </c:dLbl>
            <c:dLbl>
              <c:idx val="1"/>
              <c:layout/>
              <c:tx>
                <c:rich>
                  <a:bodyPr/>
                  <a:lstStyle/>
                  <a:p>
                    <a:pPr>
                      <a:defRPr sz="900"/>
                    </a:pPr>
                    <a:r>
                      <a:rPr lang="en-US" sz="900"/>
                      <a:t>Israel</a:t>
                    </a:r>
                    <a:r>
                      <a:rPr lang="en-US" sz="900" baseline="0"/>
                      <a:t> </a:t>
                    </a:r>
                    <a:r>
                      <a:rPr lang="en-US" sz="900"/>
                      <a:t>9%</a:t>
                    </a:r>
                  </a:p>
                </c:rich>
              </c:tx>
              <c:spPr/>
              <c:showPercent val="1"/>
            </c:dLbl>
            <c:dLbl>
              <c:idx val="2"/>
              <c:layout>
                <c:manualLayout>
                  <c:x val="2.2745369543643614E-2"/>
                  <c:y val="-0.10893960962940125"/>
                </c:manualLayout>
              </c:layout>
              <c:tx>
                <c:rich>
                  <a:bodyPr/>
                  <a:lstStyle/>
                  <a:p>
                    <a:pPr>
                      <a:defRPr sz="900"/>
                    </a:pPr>
                    <a:r>
                      <a:rPr lang="en-US" sz="900"/>
                      <a:t>United States 46%</a:t>
                    </a:r>
                  </a:p>
                </c:rich>
              </c:tx>
              <c:spPr/>
              <c:showPercent val="1"/>
            </c:dLbl>
            <c:dLbl>
              <c:idx val="3"/>
              <c:layout>
                <c:manualLayout>
                  <c:x val="2.0827905397295642E-2"/>
                  <c:y val="-2.6163114610341431E-2"/>
                </c:manualLayout>
              </c:layout>
              <c:tx>
                <c:rich>
                  <a:bodyPr/>
                  <a:lstStyle/>
                  <a:p>
                    <a:pPr>
                      <a:defRPr sz="900"/>
                    </a:pPr>
                    <a:r>
                      <a:rPr lang="en-US" sz="900"/>
                      <a:t>Ireland 9%</a:t>
                    </a:r>
                  </a:p>
                </c:rich>
              </c:tx>
              <c:spPr/>
              <c:showPercent val="1"/>
            </c:dLbl>
            <c:dLbl>
              <c:idx val="4"/>
              <c:layout>
                <c:manualLayout>
                  <c:x val="0.15068194392807888"/>
                  <c:y val="4.9189313701045692E-2"/>
                </c:manualLayout>
              </c:layout>
              <c:tx>
                <c:rich>
                  <a:bodyPr/>
                  <a:lstStyle/>
                  <a:p>
                    <a:pPr>
                      <a:defRPr sz="900"/>
                    </a:pPr>
                    <a:r>
                      <a:rPr lang="en-US" sz="900"/>
                      <a:t>The </a:t>
                    </a:r>
                    <a:r>
                      <a:rPr lang="en-US" sz="850"/>
                      <a:t>Netherlands </a:t>
                    </a:r>
                    <a:r>
                      <a:rPr lang="en-US" sz="900"/>
                      <a:t>18%</a:t>
                    </a:r>
                  </a:p>
                </c:rich>
              </c:tx>
              <c:spPr/>
              <c:showPercent val="1"/>
            </c:dLbl>
            <c:showPercent val="1"/>
            <c:showLeaderLines val="1"/>
          </c:dLbls>
          <c:cat>
            <c:strRef>
              <c:f>Hoja1!$B$56:$B$60</c:f>
              <c:strCache>
                <c:ptCount val="5"/>
                <c:pt idx="0">
                  <c:v>France</c:v>
                </c:pt>
                <c:pt idx="1">
                  <c:v>Israel</c:v>
                </c:pt>
                <c:pt idx="2">
                  <c:v>United States</c:v>
                </c:pt>
                <c:pt idx="3">
                  <c:v>Ireland</c:v>
                </c:pt>
                <c:pt idx="4">
                  <c:v>The Netherlands</c:v>
                </c:pt>
              </c:strCache>
            </c:strRef>
          </c:cat>
          <c:val>
            <c:numRef>
              <c:f>Hoja1!$C$56:$C$60</c:f>
              <c:numCache>
                <c:formatCode>General</c:formatCode>
                <c:ptCount val="5"/>
                <c:pt idx="0">
                  <c:v>2</c:v>
                </c:pt>
                <c:pt idx="1">
                  <c:v>1</c:v>
                </c:pt>
                <c:pt idx="2">
                  <c:v>5</c:v>
                </c:pt>
                <c:pt idx="3">
                  <c:v>1</c:v>
                </c:pt>
                <c:pt idx="4">
                  <c:v>2</c:v>
                </c:pt>
              </c:numCache>
            </c:numRef>
          </c:val>
        </c:ser>
        <c:dLbls>
          <c:showPercent val="1"/>
        </c:dLbls>
      </c:pie3DChart>
    </c:plotArea>
    <c:plotVisOnly val="1"/>
  </c:chart>
  <c:spPr>
    <a:ln>
      <a:no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s-ES"/>
  <c:chart>
    <c:title>
      <c:tx>
        <c:rich>
          <a:bodyPr/>
          <a:lstStyle/>
          <a:p>
            <a:pPr>
              <a:defRPr sz="1050">
                <a:latin typeface="+mn-lt"/>
              </a:defRPr>
            </a:pPr>
            <a:r>
              <a:rPr lang="es-ES" sz="1050">
                <a:latin typeface="+mn-lt"/>
              </a:rPr>
              <a:t>2nd Call Nationalities </a:t>
            </a:r>
          </a:p>
        </c:rich>
      </c:tx>
      <c:layout>
        <c:manualLayout>
          <c:xMode val="edge"/>
          <c:yMode val="edge"/>
          <c:x val="0.15843175230581871"/>
          <c:y val="3.4378390201224851E-2"/>
        </c:manualLayout>
      </c:layout>
    </c:title>
    <c:view3D>
      <c:rotX val="30"/>
      <c:perspective val="30"/>
    </c:view3D>
    <c:plotArea>
      <c:layout>
        <c:manualLayout>
          <c:layoutTarget val="inner"/>
          <c:xMode val="edge"/>
          <c:yMode val="edge"/>
          <c:x val="0.10967949187992555"/>
          <c:y val="0.13244039242030251"/>
          <c:w val="0.70738983224449037"/>
          <c:h val="0.86607929552157903"/>
        </c:manualLayout>
      </c:layout>
      <c:pie3DChart>
        <c:varyColors val="1"/>
        <c:ser>
          <c:idx val="0"/>
          <c:order val="0"/>
          <c:explosion val="8"/>
          <c:dPt>
            <c:idx val="0"/>
            <c:explosion val="0"/>
          </c:dPt>
          <c:dPt>
            <c:idx val="1"/>
            <c:explosion val="0"/>
          </c:dPt>
          <c:dPt>
            <c:idx val="2"/>
            <c:explosion val="0"/>
          </c:dPt>
          <c:dPt>
            <c:idx val="3"/>
            <c:explosion val="0"/>
          </c:dPt>
          <c:dPt>
            <c:idx val="4"/>
            <c:explosion val="0"/>
          </c:dPt>
          <c:dPt>
            <c:idx val="5"/>
            <c:explosion val="0"/>
          </c:dPt>
          <c:dLbls>
            <c:dLbl>
              <c:idx val="0"/>
              <c:layout>
                <c:manualLayout>
                  <c:x val="-7.7539685862204402E-2"/>
                  <c:y val="-6.730463631600965E-2"/>
                </c:manualLayout>
              </c:layout>
              <c:spPr/>
              <c:txPr>
                <a:bodyPr/>
                <a:lstStyle/>
                <a:p>
                  <a:pPr>
                    <a:defRPr sz="900"/>
                  </a:pPr>
                  <a:endParaRPr lang="es-ES"/>
                </a:p>
              </c:txPr>
              <c:showCatName val="1"/>
              <c:showPercent val="1"/>
            </c:dLbl>
            <c:dLbl>
              <c:idx val="1"/>
              <c:layout>
                <c:manualLayout>
                  <c:x val="-4.9207877566398862E-2"/>
                  <c:y val="9.6218207742686749E-3"/>
                </c:manualLayout>
              </c:layout>
              <c:spPr/>
              <c:txPr>
                <a:bodyPr/>
                <a:lstStyle/>
                <a:p>
                  <a:pPr>
                    <a:defRPr sz="900"/>
                  </a:pPr>
                  <a:endParaRPr lang="es-ES"/>
                </a:p>
              </c:txPr>
              <c:showCatName val="1"/>
              <c:showPercent val="1"/>
            </c:dLbl>
            <c:dLbl>
              <c:idx val="2"/>
              <c:layout>
                <c:manualLayout>
                  <c:x val="-7.4627121009531311E-3"/>
                  <c:y val="1.1245402835283887E-2"/>
                </c:manualLayout>
              </c:layout>
              <c:spPr/>
              <c:txPr>
                <a:bodyPr/>
                <a:lstStyle/>
                <a:p>
                  <a:pPr>
                    <a:defRPr sz="900"/>
                  </a:pPr>
                  <a:endParaRPr lang="es-ES"/>
                </a:p>
              </c:txPr>
              <c:showCatName val="1"/>
              <c:showPercent val="1"/>
            </c:dLbl>
            <c:dLbl>
              <c:idx val="3"/>
              <c:layout>
                <c:manualLayout>
                  <c:x val="0"/>
                  <c:y val="-8.8660911504629722E-2"/>
                </c:manualLayout>
              </c:layout>
              <c:spPr/>
              <c:txPr>
                <a:bodyPr/>
                <a:lstStyle/>
                <a:p>
                  <a:pPr>
                    <a:defRPr sz="900"/>
                  </a:pPr>
                  <a:endParaRPr lang="es-ES"/>
                </a:p>
              </c:txPr>
              <c:showCatName val="1"/>
              <c:showPercent val="1"/>
            </c:dLbl>
            <c:dLbl>
              <c:idx val="4"/>
              <c:layout>
                <c:manualLayout>
                  <c:x val="4.9176978113219583E-2"/>
                  <c:y val="-6.6346242356997584E-2"/>
                </c:manualLayout>
              </c:layout>
              <c:spPr/>
              <c:txPr>
                <a:bodyPr/>
                <a:lstStyle/>
                <a:p>
                  <a:pPr>
                    <a:defRPr sz="900"/>
                  </a:pPr>
                  <a:endParaRPr lang="es-ES"/>
                </a:p>
              </c:txPr>
              <c:showCatName val="1"/>
              <c:showPercent val="1"/>
            </c:dLbl>
            <c:dLbl>
              <c:idx val="5"/>
              <c:layout>
                <c:manualLayout>
                  <c:x val="0.11368207851650729"/>
                  <c:y val="4.4658127995218302E-3"/>
                </c:manualLayout>
              </c:layout>
              <c:spPr/>
              <c:txPr>
                <a:bodyPr/>
                <a:lstStyle/>
                <a:p>
                  <a:pPr>
                    <a:defRPr sz="900"/>
                  </a:pPr>
                  <a:endParaRPr lang="es-ES"/>
                </a:p>
              </c:txPr>
              <c:showCatName val="1"/>
              <c:showPercent val="1"/>
            </c:dLbl>
            <c:showCatName val="1"/>
            <c:showPercent val="1"/>
          </c:dLbls>
          <c:cat>
            <c:strRef>
              <c:f>Hoja1!$B$19:$B$24</c:f>
              <c:strCache>
                <c:ptCount val="6"/>
                <c:pt idx="0">
                  <c:v>Spanish</c:v>
                </c:pt>
                <c:pt idx="1">
                  <c:v>Italian</c:v>
                </c:pt>
                <c:pt idx="2">
                  <c:v>Greek</c:v>
                </c:pt>
                <c:pt idx="3">
                  <c:v>Dutch</c:v>
                </c:pt>
                <c:pt idx="4">
                  <c:v>German</c:v>
                </c:pt>
                <c:pt idx="5">
                  <c:v>Rumanian</c:v>
                </c:pt>
              </c:strCache>
            </c:strRef>
          </c:cat>
          <c:val>
            <c:numRef>
              <c:f>Hoja1!$C$19:$C$24</c:f>
              <c:numCache>
                <c:formatCode>General</c:formatCode>
                <c:ptCount val="6"/>
                <c:pt idx="0">
                  <c:v>3</c:v>
                </c:pt>
                <c:pt idx="1">
                  <c:v>3</c:v>
                </c:pt>
                <c:pt idx="2">
                  <c:v>1</c:v>
                </c:pt>
                <c:pt idx="3">
                  <c:v>1</c:v>
                </c:pt>
                <c:pt idx="4">
                  <c:v>1</c:v>
                </c:pt>
                <c:pt idx="5">
                  <c:v>1</c:v>
                </c:pt>
              </c:numCache>
            </c:numRef>
          </c:val>
        </c:ser>
        <c:dLbls>
          <c:showPercent val="1"/>
        </c:dLbls>
      </c:pie3DChart>
    </c:plotArea>
    <c:plotVisOnly val="1"/>
  </c:chart>
  <c:spPr>
    <a:ln>
      <a:noFill/>
    </a:ln>
  </c:spPr>
  <c:txPr>
    <a:bodyPr/>
    <a:lstStyle/>
    <a:p>
      <a:pPr>
        <a:defRPr sz="1000"/>
      </a:pPr>
      <a:endParaRPr lang="es-ES"/>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s-ES"/>
  <c:style val="10"/>
  <c:chart>
    <c:autoTitleDeleted val="1"/>
    <c:view3D>
      <c:rotX val="30"/>
      <c:perspective val="30"/>
    </c:view3D>
    <c:plotArea>
      <c:layout>
        <c:manualLayout>
          <c:layoutTarget val="inner"/>
          <c:xMode val="edge"/>
          <c:yMode val="edge"/>
          <c:x val="0.12737700713799041"/>
          <c:y val="0.20810969677729912"/>
          <c:w val="0.70519128489176386"/>
          <c:h val="0.77588268425310691"/>
        </c:manualLayout>
      </c:layout>
      <c:pie3DChart>
        <c:varyColors val="1"/>
        <c:ser>
          <c:idx val="0"/>
          <c:order val="0"/>
          <c:dLbls>
            <c:dLbl>
              <c:idx val="0"/>
              <c:layout>
                <c:manualLayout>
                  <c:x val="-5.1015328656007781E-2"/>
                  <c:y val="2.1593201378787653E-2"/>
                </c:manualLayout>
              </c:layout>
              <c:tx>
                <c:rich>
                  <a:bodyPr/>
                  <a:lstStyle/>
                  <a:p>
                    <a:r>
                      <a:rPr lang="en-US"/>
                      <a:t>Italy</a:t>
                    </a:r>
                  </a:p>
                  <a:p>
                    <a:r>
                      <a:rPr lang="en-US"/>
                      <a:t> 11%</a:t>
                    </a:r>
                  </a:p>
                </c:rich>
              </c:tx>
              <c:showPercent val="1"/>
            </c:dLbl>
            <c:dLbl>
              <c:idx val="1"/>
              <c:layout>
                <c:manualLayout>
                  <c:x val="-1.1178071745554345E-2"/>
                  <c:y val="-9.0782046635854124E-2"/>
                </c:manualLayout>
              </c:layout>
              <c:tx>
                <c:rich>
                  <a:bodyPr/>
                  <a:lstStyle/>
                  <a:p>
                    <a:r>
                      <a:rPr lang="en-US"/>
                      <a:t>Unitated States</a:t>
                    </a:r>
                  </a:p>
                  <a:p>
                    <a:r>
                      <a:rPr lang="en-US"/>
                      <a:t> 34%</a:t>
                    </a:r>
                  </a:p>
                </c:rich>
              </c:tx>
              <c:showPercent val="1"/>
            </c:dLbl>
            <c:dLbl>
              <c:idx val="2"/>
              <c:layout>
                <c:manualLayout>
                  <c:x val="7.2142577229584864E-2"/>
                  <c:y val="-1.6244028204580846E-2"/>
                </c:manualLayout>
              </c:layout>
              <c:tx>
                <c:rich>
                  <a:bodyPr/>
                  <a:lstStyle/>
                  <a:p>
                    <a:r>
                      <a:rPr lang="en-US"/>
                      <a:t>United Kingdom</a:t>
                    </a:r>
                    <a:r>
                      <a:rPr lang="en-US" baseline="0"/>
                      <a:t> </a:t>
                    </a:r>
                    <a:r>
                      <a:rPr lang="en-US"/>
                      <a:t>22%</a:t>
                    </a:r>
                  </a:p>
                </c:rich>
              </c:tx>
              <c:showPercent val="1"/>
            </c:dLbl>
            <c:dLbl>
              <c:idx val="3"/>
              <c:layout>
                <c:manualLayout>
                  <c:x val="1.4849343977426909E-2"/>
                  <c:y val="3.3843509141779832E-2"/>
                </c:manualLayout>
              </c:layout>
              <c:tx>
                <c:rich>
                  <a:bodyPr/>
                  <a:lstStyle/>
                  <a:p>
                    <a:r>
                      <a:rPr lang="en-US"/>
                      <a:t>The </a:t>
                    </a:r>
                    <a:r>
                      <a:rPr lang="en-US" sz="850"/>
                      <a:t>Netherlands</a:t>
                    </a:r>
                    <a:r>
                      <a:rPr lang="en-US" sz="850" baseline="0"/>
                      <a:t> </a:t>
                    </a:r>
                    <a:r>
                      <a:rPr lang="en-US"/>
                      <a:t>22%</a:t>
                    </a:r>
                  </a:p>
                </c:rich>
              </c:tx>
              <c:showPercent val="1"/>
            </c:dLbl>
            <c:dLbl>
              <c:idx val="4"/>
              <c:layout>
                <c:manualLayout>
                  <c:x val="7.4156742354206814E-2"/>
                  <c:y val="1.5977190099603029E-2"/>
                </c:manualLayout>
              </c:layout>
              <c:tx>
                <c:rich>
                  <a:bodyPr/>
                  <a:lstStyle/>
                  <a:p>
                    <a:r>
                      <a:rPr lang="en-US"/>
                      <a:t>Sweden 11%</a:t>
                    </a:r>
                  </a:p>
                </c:rich>
              </c:tx>
              <c:showPercent val="1"/>
            </c:dLbl>
            <c:showPercent val="1"/>
          </c:dLbls>
          <c:cat>
            <c:strRef>
              <c:f>Hoja1!$B$39:$B$43</c:f>
              <c:strCache>
                <c:ptCount val="5"/>
                <c:pt idx="0">
                  <c:v>Italy</c:v>
                </c:pt>
                <c:pt idx="1">
                  <c:v>United States</c:v>
                </c:pt>
                <c:pt idx="2">
                  <c:v>United Kingdom</c:v>
                </c:pt>
                <c:pt idx="3">
                  <c:v>The Netherlands</c:v>
                </c:pt>
                <c:pt idx="4">
                  <c:v>Sweden</c:v>
                </c:pt>
              </c:strCache>
            </c:strRef>
          </c:cat>
          <c:val>
            <c:numRef>
              <c:f>Hoja1!$C$39:$C$43</c:f>
              <c:numCache>
                <c:formatCode>General</c:formatCode>
                <c:ptCount val="5"/>
                <c:pt idx="0">
                  <c:v>1</c:v>
                </c:pt>
                <c:pt idx="1">
                  <c:v>3</c:v>
                </c:pt>
                <c:pt idx="2">
                  <c:v>2</c:v>
                </c:pt>
                <c:pt idx="3">
                  <c:v>2</c:v>
                </c:pt>
                <c:pt idx="4">
                  <c:v>1</c:v>
                </c:pt>
              </c:numCache>
            </c:numRef>
          </c:val>
        </c:ser>
        <c:ser>
          <c:idx val="1"/>
          <c:order val="1"/>
          <c:cat>
            <c:strRef>
              <c:f>Hoja1!$B$39:$B$43</c:f>
              <c:strCache>
                <c:ptCount val="5"/>
                <c:pt idx="0">
                  <c:v>Italy</c:v>
                </c:pt>
                <c:pt idx="1">
                  <c:v>United States</c:v>
                </c:pt>
                <c:pt idx="2">
                  <c:v>United Kingdom</c:v>
                </c:pt>
                <c:pt idx="3">
                  <c:v>The Netherlands</c:v>
                </c:pt>
                <c:pt idx="4">
                  <c:v>Sweden</c:v>
                </c:pt>
              </c:strCache>
            </c:strRef>
          </c:cat>
          <c:val>
            <c:numRef>
              <c:f>Hoja1!$B$37</c:f>
              <c:numCache>
                <c:formatCode>General</c:formatCode>
                <c:ptCount val="1"/>
                <c:pt idx="0">
                  <c:v>0</c:v>
                </c:pt>
              </c:numCache>
            </c:numRef>
          </c:val>
        </c:ser>
        <c:dLbls>
          <c:showPercent val="1"/>
        </c:dLbls>
      </c:pie3DChart>
    </c:plotArea>
    <c:plotVisOnly val="1"/>
  </c:chart>
  <c:spPr>
    <a:ln>
      <a:noFill/>
    </a:ln>
  </c:spPr>
  <c:txPr>
    <a:bodyPr/>
    <a:lstStyle/>
    <a:p>
      <a:pPr>
        <a:defRPr sz="900"/>
      </a:pPr>
      <a:endParaRPr lang="es-ES"/>
    </a:p>
  </c:txPr>
  <c:externalData r:id="rId1"/>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s-ES"/>
  <c:chart>
    <c:title>
      <c:tx>
        <c:rich>
          <a:bodyPr/>
          <a:lstStyle/>
          <a:p>
            <a:pPr>
              <a:defRPr sz="1050"/>
            </a:pPr>
            <a:r>
              <a:rPr lang="es-ES" sz="1050"/>
              <a:t>3rd Call</a:t>
            </a:r>
            <a:r>
              <a:rPr lang="es-ES" sz="1050" baseline="0"/>
              <a:t> </a:t>
            </a:r>
            <a:r>
              <a:rPr lang="es-ES" sz="1050"/>
              <a:t>Nationalities</a:t>
            </a:r>
          </a:p>
        </c:rich>
      </c:tx>
      <c:layout/>
    </c:title>
    <c:view3D>
      <c:rotX val="30"/>
      <c:perspective val="30"/>
    </c:view3D>
    <c:plotArea>
      <c:layout>
        <c:manualLayout>
          <c:layoutTarget val="inner"/>
          <c:xMode val="edge"/>
          <c:yMode val="edge"/>
          <c:x val="0.16505841224018689"/>
          <c:y val="0.15008311382101996"/>
          <c:w val="0.69762792500926651"/>
          <c:h val="0.84391803065240389"/>
        </c:manualLayout>
      </c:layout>
      <c:pie3DChart>
        <c:varyColors val="1"/>
        <c:ser>
          <c:idx val="0"/>
          <c:order val="0"/>
          <c:dLbls>
            <c:dLbl>
              <c:idx val="0"/>
              <c:layout>
                <c:manualLayout>
                  <c:x val="-7.4286431600709121E-2"/>
                  <c:y val="-7.0022974601934573E-2"/>
                </c:manualLayout>
              </c:layout>
              <c:showCatName val="1"/>
              <c:showPercent val="1"/>
            </c:dLbl>
            <c:dLbl>
              <c:idx val="1"/>
              <c:layout>
                <c:manualLayout>
                  <c:x val="-1.2366013255832985E-2"/>
                  <c:y val="-5.3341397544615738E-3"/>
                </c:manualLayout>
              </c:layout>
              <c:tx>
                <c:rich>
                  <a:bodyPr/>
                  <a:lstStyle/>
                  <a:p>
                    <a:r>
                      <a:rPr lang="en-US"/>
                      <a:t>Hungarian
33%</a:t>
                    </a:r>
                  </a:p>
                </c:rich>
              </c:tx>
              <c:showCatName val="1"/>
              <c:showPercent val="1"/>
            </c:dLbl>
            <c:dLbl>
              <c:idx val="2"/>
              <c:layout>
                <c:manualLayout>
                  <c:x val="2.1869643446309245E-3"/>
                  <c:y val="-8.5726766041270469E-2"/>
                </c:manualLayout>
              </c:layout>
              <c:showCatName val="1"/>
              <c:showPercent val="1"/>
            </c:dLbl>
            <c:dLbl>
              <c:idx val="3"/>
              <c:layout>
                <c:manualLayout>
                  <c:x val="4.2467322360988373E-2"/>
                  <c:y val="-2.5299782854310792E-2"/>
                </c:manualLayout>
              </c:layout>
              <c:showCatName val="1"/>
              <c:showPercent val="1"/>
            </c:dLbl>
            <c:dLbl>
              <c:idx val="4"/>
              <c:layout>
                <c:manualLayout>
                  <c:x val="1.963974914799458E-2"/>
                  <c:y val="-9.5211609187149507E-2"/>
                </c:manualLayout>
              </c:layout>
              <c:showCatName val="1"/>
              <c:showPercent val="1"/>
            </c:dLbl>
            <c:dLbl>
              <c:idx val="5"/>
              <c:layout>
                <c:manualLayout>
                  <c:x val="8.8364374693300565E-2"/>
                  <c:y val="-2.921060399364973E-2"/>
                </c:manualLayout>
              </c:layout>
              <c:showCatName val="1"/>
              <c:showPercent val="1"/>
            </c:dLbl>
            <c:txPr>
              <a:bodyPr/>
              <a:lstStyle/>
              <a:p>
                <a:pPr>
                  <a:defRPr sz="900" b="0"/>
                </a:pPr>
                <a:endParaRPr lang="es-ES"/>
              </a:p>
            </c:txPr>
            <c:showCatName val="1"/>
            <c:showPercent val="1"/>
          </c:dLbls>
          <c:cat>
            <c:strRef>
              <c:f>'6 UPfellows'!$B$15:$B$18</c:f>
              <c:strCache>
                <c:ptCount val="4"/>
                <c:pt idx="0">
                  <c:v>Spanish</c:v>
                </c:pt>
                <c:pt idx="1">
                  <c:v>Hungarian</c:v>
                </c:pt>
                <c:pt idx="2">
                  <c:v>Greek</c:v>
                </c:pt>
                <c:pt idx="3">
                  <c:v>French</c:v>
                </c:pt>
              </c:strCache>
            </c:strRef>
          </c:cat>
          <c:val>
            <c:numRef>
              <c:f>'6 UPfellows'!$C$15:$C$18</c:f>
              <c:numCache>
                <c:formatCode>General</c:formatCode>
                <c:ptCount val="4"/>
                <c:pt idx="0">
                  <c:v>2</c:v>
                </c:pt>
                <c:pt idx="1">
                  <c:v>2</c:v>
                </c:pt>
                <c:pt idx="2">
                  <c:v>1</c:v>
                </c:pt>
                <c:pt idx="3">
                  <c:v>1</c:v>
                </c:pt>
              </c:numCache>
            </c:numRef>
          </c:val>
        </c:ser>
        <c:dLbls>
          <c:showPercent val="1"/>
        </c:dLbls>
      </c:pie3DChart>
    </c:plotArea>
    <c:plotVisOnly val="1"/>
  </c:chart>
  <c:spPr>
    <a:ln>
      <a:noFill/>
    </a:ln>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s-ES"/>
  <c:style val="10"/>
  <c:chart>
    <c:autoTitleDeleted val="1"/>
    <c:view3D>
      <c:rotX val="30"/>
      <c:perspective val="30"/>
    </c:view3D>
    <c:plotArea>
      <c:layout>
        <c:manualLayout>
          <c:layoutTarget val="inner"/>
          <c:xMode val="edge"/>
          <c:yMode val="edge"/>
          <c:x val="0.12858500484351537"/>
          <c:y val="0.24857066899955313"/>
          <c:w val="0.73714058131367233"/>
          <c:h val="0.60804606317650822"/>
        </c:manualLayout>
      </c:layout>
      <c:pie3DChart>
        <c:varyColors val="1"/>
        <c:ser>
          <c:idx val="0"/>
          <c:order val="0"/>
          <c:dLbls>
            <c:dLbl>
              <c:idx val="0"/>
              <c:layout>
                <c:manualLayout>
                  <c:x val="-3.7824182685465391E-2"/>
                  <c:y val="-2.1409825018045402E-2"/>
                </c:manualLayout>
              </c:layout>
              <c:showCatName val="1"/>
              <c:showPercent val="1"/>
            </c:dLbl>
            <c:dLbl>
              <c:idx val="1"/>
              <c:layout>
                <c:manualLayout>
                  <c:x val="-3.4261941599293612E-2"/>
                  <c:y val="-0.11486426958442365"/>
                </c:manualLayout>
              </c:layout>
              <c:showCatName val="1"/>
              <c:showPercent val="1"/>
            </c:dLbl>
            <c:dLbl>
              <c:idx val="2"/>
              <c:layout>
                <c:manualLayout>
                  <c:x val="-7.3117188587973697E-2"/>
                  <c:y val="1.5388782669042846E-2"/>
                </c:manualLayout>
              </c:layout>
              <c:showCatName val="1"/>
              <c:showPercent val="1"/>
            </c:dLbl>
            <c:dLbl>
              <c:idx val="3"/>
              <c:layout>
                <c:manualLayout>
                  <c:x val="9.8951566376055927E-2"/>
                  <c:y val="1.7592865941967316E-2"/>
                </c:manualLayout>
              </c:layout>
              <c:showCatName val="1"/>
              <c:showPercent val="1"/>
            </c:dLbl>
            <c:dLbl>
              <c:idx val="4"/>
              <c:layout>
                <c:manualLayout>
                  <c:x val="9.0676271059344938E-3"/>
                  <c:y val="-8.8594564600815315E-2"/>
                </c:manualLayout>
              </c:layout>
              <c:showCatName val="1"/>
              <c:showPercent val="1"/>
            </c:dLbl>
            <c:dLbl>
              <c:idx val="5"/>
              <c:layout>
                <c:manualLayout>
                  <c:x val="3.4018235491261012E-2"/>
                  <c:y val="4.9406396787540965E-3"/>
                </c:manualLayout>
              </c:layout>
              <c:showCatName val="1"/>
              <c:showPercent val="1"/>
            </c:dLbl>
            <c:txPr>
              <a:bodyPr/>
              <a:lstStyle/>
              <a:p>
                <a:pPr>
                  <a:defRPr sz="900" b="0"/>
                </a:pPr>
                <a:endParaRPr lang="es-ES"/>
              </a:p>
            </c:txPr>
            <c:showCatName val="1"/>
            <c:showPercent val="1"/>
          </c:dLbls>
          <c:cat>
            <c:strRef>
              <c:f>'6 UPfellows'!$B$33:$B$38</c:f>
              <c:strCache>
                <c:ptCount val="6"/>
                <c:pt idx="0">
                  <c:v>Belgium</c:v>
                </c:pt>
                <c:pt idx="1">
                  <c:v>France</c:v>
                </c:pt>
                <c:pt idx="2">
                  <c:v>Germany</c:v>
                </c:pt>
                <c:pt idx="3">
                  <c:v>United Kingdom</c:v>
                </c:pt>
                <c:pt idx="4">
                  <c:v>Singapore</c:v>
                </c:pt>
                <c:pt idx="5">
                  <c:v>United States</c:v>
                </c:pt>
              </c:strCache>
            </c:strRef>
          </c:cat>
          <c:val>
            <c:numRef>
              <c:f>'6 UPfellows'!$C$33:$C$38</c:f>
              <c:numCache>
                <c:formatCode>General</c:formatCode>
                <c:ptCount val="6"/>
                <c:pt idx="0">
                  <c:v>1</c:v>
                </c:pt>
                <c:pt idx="1">
                  <c:v>1</c:v>
                </c:pt>
                <c:pt idx="2">
                  <c:v>1</c:v>
                </c:pt>
                <c:pt idx="3">
                  <c:v>1</c:v>
                </c:pt>
                <c:pt idx="4">
                  <c:v>1</c:v>
                </c:pt>
                <c:pt idx="5">
                  <c:v>1</c:v>
                </c:pt>
              </c:numCache>
            </c:numRef>
          </c:val>
        </c:ser>
        <c:ser>
          <c:idx val="1"/>
          <c:order val="1"/>
          <c:cat>
            <c:strRef>
              <c:f>'6 UPfellows'!$B$33:$B$38</c:f>
              <c:strCache>
                <c:ptCount val="6"/>
                <c:pt idx="0">
                  <c:v>Belgium</c:v>
                </c:pt>
                <c:pt idx="1">
                  <c:v>France</c:v>
                </c:pt>
                <c:pt idx="2">
                  <c:v>Germany</c:v>
                </c:pt>
                <c:pt idx="3">
                  <c:v>United Kingdom</c:v>
                </c:pt>
                <c:pt idx="4">
                  <c:v>Singapore</c:v>
                </c:pt>
                <c:pt idx="5">
                  <c:v>United States</c:v>
                </c:pt>
              </c:strCache>
            </c:strRef>
          </c:cat>
          <c:val>
            <c:numRef>
              <c:f>'6 UPfellows'!$B$31</c:f>
              <c:numCache>
                <c:formatCode>General</c:formatCode>
                <c:ptCount val="1"/>
                <c:pt idx="0">
                  <c:v>0</c:v>
                </c:pt>
              </c:numCache>
            </c:numRef>
          </c:val>
        </c:ser>
        <c:dLbls>
          <c:showPercent val="1"/>
        </c:dLbls>
      </c:pie3DChart>
    </c:plotArea>
    <c:plotVisOnly val="1"/>
  </c:chart>
  <c:spPr>
    <a:noFill/>
    <a:ln>
      <a:noFill/>
    </a:ln>
  </c:spPr>
  <c:externalData r:id="rId1"/>
  <c:userShapes r:id="rId2"/>
</c:chartSpace>
</file>

<file path=word/drawings/drawing1.xml><?xml version="1.0" encoding="utf-8"?>
<c:userShapes xmlns:c="http://schemas.openxmlformats.org/drawingml/2006/chart">
  <cdr:relSizeAnchor xmlns:cdr="http://schemas.openxmlformats.org/drawingml/2006/chartDrawing">
    <cdr:from>
      <cdr:x>0.02152</cdr:x>
      <cdr:y>0.04523</cdr:y>
    </cdr:from>
    <cdr:to>
      <cdr:x>1</cdr:x>
      <cdr:y>0.25795</cdr:y>
    </cdr:to>
    <cdr:sp macro="" textlink="">
      <cdr:nvSpPr>
        <cdr:cNvPr id="2" name="1 CuadroTexto"/>
        <cdr:cNvSpPr txBox="1"/>
      </cdr:nvSpPr>
      <cdr:spPr>
        <a:xfrm xmlns:a="http://schemas.openxmlformats.org/drawingml/2006/main">
          <a:off x="51759" y="110418"/>
          <a:ext cx="2353214" cy="51930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rtl="0">
            <a:defRPr sz="1100" b="1" i="0" u="none" strike="noStrike" kern="1200" baseline="0">
              <a:solidFill>
                <a:sysClr val="windowText" lastClr="000000"/>
              </a:solidFill>
              <a:latin typeface="Calibri" pitchFamily="34" charset="0"/>
              <a:ea typeface="+mn-ea"/>
              <a:cs typeface="+mn-cs"/>
            </a:defRPr>
          </a:pPr>
          <a:r>
            <a:rPr lang="es-ES" sz="1050">
              <a:latin typeface="+mn-lt"/>
            </a:rPr>
            <a:t>2nd</a:t>
          </a:r>
          <a:r>
            <a:rPr lang="es-ES" sz="1050" baseline="0">
              <a:latin typeface="+mn-lt"/>
            </a:rPr>
            <a:t> Call </a:t>
          </a:r>
          <a:r>
            <a:rPr lang="es-ES" sz="1050">
              <a:latin typeface="+mn-lt"/>
            </a:rPr>
            <a:t>Country of residence at the time of selection</a:t>
          </a:r>
        </a:p>
      </cdr:txBody>
    </cdr:sp>
  </cdr:relSizeAnchor>
</c:userShapes>
</file>

<file path=word/drawings/drawing2.xml><?xml version="1.0" encoding="utf-8"?>
<c:userShapes xmlns:c="http://schemas.openxmlformats.org/drawingml/2006/chart">
  <cdr:relSizeAnchor xmlns:cdr="http://schemas.openxmlformats.org/drawingml/2006/chartDrawing">
    <cdr:from>
      <cdr:x>0.24399</cdr:x>
      <cdr:y>0.04523</cdr:y>
    </cdr:from>
    <cdr:to>
      <cdr:x>0.84708</cdr:x>
      <cdr:y>0.17588</cdr:y>
    </cdr:to>
    <cdr:sp macro="" textlink="">
      <cdr:nvSpPr>
        <cdr:cNvPr id="2" name="1 CuadroTexto"/>
        <cdr:cNvSpPr txBox="1"/>
      </cdr:nvSpPr>
      <cdr:spPr>
        <a:xfrm xmlns:a="http://schemas.openxmlformats.org/drawingml/2006/main">
          <a:off x="1352550" y="171451"/>
          <a:ext cx="3343275" cy="4953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s-ES" sz="1100"/>
        </a:p>
      </cdr:txBody>
    </cdr:sp>
  </cdr:relSizeAnchor>
  <cdr:relSizeAnchor xmlns:cdr="http://schemas.openxmlformats.org/drawingml/2006/chartDrawing">
    <cdr:from>
      <cdr:x>0.10561</cdr:x>
      <cdr:y>0</cdr:y>
    </cdr:from>
    <cdr:to>
      <cdr:x>0.93729</cdr:x>
      <cdr:y>0.21254</cdr:y>
    </cdr:to>
    <cdr:sp macro="" textlink="">
      <cdr:nvSpPr>
        <cdr:cNvPr id="3" name="2 CuadroTexto"/>
        <cdr:cNvSpPr txBox="1"/>
      </cdr:nvSpPr>
      <cdr:spPr>
        <a:xfrm xmlns:a="http://schemas.openxmlformats.org/drawingml/2006/main">
          <a:off x="276045" y="0"/>
          <a:ext cx="2173857" cy="52621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ES" sz="1050" b="1"/>
            <a:t>3rd Call Country of  residence at the time of selection</a:t>
          </a:r>
        </a:p>
      </cdr:txBody>
    </cdr:sp>
  </cdr:relSizeAnchor>
</c:userShape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ersonalizado 1">
      <a:majorFont>
        <a:latin typeface="Cambri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3</Pages>
  <Words>846</Words>
  <Characters>4654</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Universitat Pompeu Fabra</dc:creator>
  <cp:lastModifiedBy>Eva Martin</cp:lastModifiedBy>
  <cp:revision>9</cp:revision>
  <dcterms:created xsi:type="dcterms:W3CDTF">2019-04-04T10:43:00Z</dcterms:created>
  <dcterms:modified xsi:type="dcterms:W3CDTF">2019-05-23T11:34:00Z</dcterms:modified>
</cp:coreProperties>
</file>