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b/>
          <w:bCs/>
          <w:color w:val="365F91" w:themeColor="accent1" w:themeShade="BF"/>
          <w:sz w:val="24"/>
          <w:szCs w:val="24"/>
          <w:lang w:val="en-GB"/>
        </w:rPr>
        <w:id w:val="11694445"/>
        <w:docPartObj>
          <w:docPartGallery w:val="Cover Pages"/>
          <w:docPartUnique/>
        </w:docPartObj>
      </w:sdtPr>
      <w:sdtEndPr>
        <w:rPr>
          <w:rFonts w:ascii="Arial" w:eastAsiaTheme="minorHAnsi" w:hAnsi="Arial"/>
          <w:b w:val="0"/>
          <w:bCs w:val="0"/>
          <w:color w:val="003300"/>
          <w:lang w:val="fr-BE"/>
        </w:rPr>
      </w:sdtEndPr>
      <w:sdtContent>
        <w:p w:rsidR="006327A9" w:rsidRPr="006327A9" w:rsidRDefault="006327A9" w:rsidP="006327A9">
          <w:pPr>
            <w:rPr>
              <w:sz w:val="24"/>
              <w:szCs w:val="24"/>
              <w:lang w:val="en-GB"/>
            </w:rPr>
          </w:pPr>
        </w:p>
        <w:p w:rsidR="00742EE4" w:rsidRPr="00DF7452" w:rsidRDefault="007533CA" w:rsidP="00862661">
          <w:pPr>
            <w:pStyle w:val="Title"/>
            <w:rPr>
              <w:lang w:val="en-GB"/>
            </w:rPr>
          </w:pPr>
          <w:r w:rsidRPr="00DF7452">
            <w:rPr>
              <w:lang w:val="en-GB"/>
            </w:rPr>
            <w:t>PRESS RELEASE</w:t>
          </w:r>
        </w:p>
        <w:p w:rsidR="00742EE4" w:rsidRPr="00DF7452" w:rsidRDefault="005C6B5F" w:rsidP="00574FFE">
          <w:pPr>
            <w:pStyle w:val="Heading1"/>
            <w:rPr>
              <w:b/>
              <w:sz w:val="36"/>
              <w:szCs w:val="36"/>
            </w:rPr>
          </w:pPr>
          <w:r>
            <w:rPr>
              <w:b/>
              <w:sz w:val="36"/>
              <w:szCs w:val="36"/>
            </w:rPr>
            <w:t>SATIE orchestrates European large scale Action for ITS</w:t>
          </w:r>
        </w:p>
        <w:p w:rsidR="00F40380" w:rsidRDefault="00574FFE" w:rsidP="000C1F2B">
          <w:pPr>
            <w:rPr>
              <w:b/>
              <w:sz w:val="24"/>
              <w:szCs w:val="24"/>
              <w:lang w:val="en-GB"/>
            </w:rPr>
          </w:pPr>
          <w:r w:rsidRPr="006B51C1">
            <w:rPr>
              <w:b/>
              <w:sz w:val="24"/>
              <w:szCs w:val="24"/>
              <w:lang w:val="en-GB"/>
            </w:rPr>
            <w:t>Brussels, 07/09/2011</w:t>
          </w:r>
        </w:p>
        <w:p w:rsidR="0015127E" w:rsidRPr="006B51C1" w:rsidRDefault="00F40380" w:rsidP="000C1F2B">
          <w:pPr>
            <w:rPr>
              <w:b/>
              <w:sz w:val="24"/>
              <w:szCs w:val="24"/>
              <w:lang w:val="en-GB"/>
            </w:rPr>
          </w:pPr>
          <w:r>
            <w:rPr>
              <w:b/>
              <w:sz w:val="24"/>
              <w:szCs w:val="24"/>
              <w:lang w:val="en-GB"/>
            </w:rPr>
            <w:t xml:space="preserve">On 7 September </w:t>
          </w:r>
          <w:r w:rsidR="00F84EC0" w:rsidRPr="006B51C1">
            <w:rPr>
              <w:b/>
              <w:sz w:val="24"/>
              <w:szCs w:val="24"/>
              <w:lang w:val="en-GB"/>
            </w:rPr>
            <w:t xml:space="preserve">ERTICO – ITS Europe </w:t>
          </w:r>
          <w:r w:rsidR="005C6B5F">
            <w:rPr>
              <w:b/>
              <w:sz w:val="24"/>
              <w:szCs w:val="24"/>
              <w:lang w:val="en-GB"/>
            </w:rPr>
            <w:t>hosted the</w:t>
          </w:r>
          <w:r w:rsidR="00F84EC0" w:rsidRPr="006B51C1">
            <w:rPr>
              <w:b/>
              <w:sz w:val="24"/>
              <w:szCs w:val="24"/>
              <w:lang w:val="en-GB"/>
            </w:rPr>
            <w:t xml:space="preserve"> kick-off </w:t>
          </w:r>
          <w:r>
            <w:rPr>
              <w:b/>
              <w:sz w:val="24"/>
              <w:szCs w:val="24"/>
              <w:lang w:val="en-GB"/>
            </w:rPr>
            <w:t xml:space="preserve">meeting of </w:t>
          </w:r>
          <w:r w:rsidR="00F84EC0" w:rsidRPr="006B51C1">
            <w:rPr>
              <w:b/>
              <w:sz w:val="24"/>
              <w:szCs w:val="24"/>
              <w:lang w:val="en-GB"/>
            </w:rPr>
            <w:t xml:space="preserve">the </w:t>
          </w:r>
          <w:r>
            <w:rPr>
              <w:b/>
              <w:sz w:val="24"/>
              <w:szCs w:val="24"/>
              <w:lang w:val="en-GB"/>
            </w:rPr>
            <w:t xml:space="preserve">new </w:t>
          </w:r>
          <w:r w:rsidR="00444B0E">
            <w:rPr>
              <w:b/>
              <w:sz w:val="24"/>
              <w:szCs w:val="24"/>
              <w:lang w:val="en-GB"/>
            </w:rPr>
            <w:t>SATIE project. The</w:t>
          </w:r>
          <w:r w:rsidR="00F84EC0" w:rsidRPr="006B51C1">
            <w:rPr>
              <w:b/>
              <w:sz w:val="24"/>
              <w:szCs w:val="24"/>
              <w:lang w:val="en-GB"/>
            </w:rPr>
            <w:t xml:space="preserve"> task </w:t>
          </w:r>
          <w:r w:rsidR="00444B0E">
            <w:rPr>
              <w:b/>
              <w:sz w:val="24"/>
              <w:szCs w:val="24"/>
              <w:lang w:val="en-GB"/>
            </w:rPr>
            <w:t xml:space="preserve">of the 10-partner consortium </w:t>
          </w:r>
          <w:r w:rsidR="00F84EC0" w:rsidRPr="006B51C1">
            <w:rPr>
              <w:b/>
              <w:sz w:val="24"/>
              <w:szCs w:val="24"/>
              <w:lang w:val="en-GB"/>
            </w:rPr>
            <w:t>w</w:t>
          </w:r>
          <w:r w:rsidR="00982558" w:rsidRPr="006B51C1">
            <w:rPr>
              <w:b/>
              <w:sz w:val="24"/>
              <w:szCs w:val="24"/>
              <w:lang w:val="en-GB"/>
            </w:rPr>
            <w:t>ill be to propose to the European Commission</w:t>
          </w:r>
          <w:r w:rsidR="005C6B5F">
            <w:rPr>
              <w:b/>
              <w:sz w:val="24"/>
              <w:szCs w:val="24"/>
              <w:lang w:val="en-GB"/>
            </w:rPr>
            <w:t xml:space="preserve"> options for large scale actions for innovation and deployment of Intelligent Transport Systems (ITS). </w:t>
          </w:r>
          <w:r w:rsidR="00C468CC" w:rsidRPr="006B51C1">
            <w:rPr>
              <w:b/>
              <w:sz w:val="24"/>
              <w:szCs w:val="24"/>
              <w:lang w:val="en-GB"/>
            </w:rPr>
            <w:t xml:space="preserve">The starting point of this exercise: the </w:t>
          </w:r>
          <w:proofErr w:type="spellStart"/>
          <w:r w:rsidR="000256B1">
            <w:rPr>
              <w:b/>
              <w:sz w:val="24"/>
              <w:szCs w:val="24"/>
              <w:lang w:val="en-GB"/>
            </w:rPr>
            <w:t>iMobility</w:t>
          </w:r>
          <w:proofErr w:type="spellEnd"/>
          <w:r w:rsidR="000256B1">
            <w:rPr>
              <w:b/>
              <w:sz w:val="24"/>
              <w:szCs w:val="24"/>
              <w:lang w:val="en-GB"/>
            </w:rPr>
            <w:t xml:space="preserve"> Forum</w:t>
          </w:r>
          <w:r w:rsidR="00C468CC" w:rsidRPr="006B51C1">
            <w:rPr>
              <w:b/>
              <w:sz w:val="24"/>
              <w:szCs w:val="24"/>
              <w:lang w:val="en-GB"/>
            </w:rPr>
            <w:t xml:space="preserve"> ELSA Task Force report</w:t>
          </w:r>
          <w:r w:rsidR="00444B0E">
            <w:rPr>
              <w:rStyle w:val="EndnoteReference"/>
              <w:b/>
              <w:sz w:val="24"/>
              <w:szCs w:val="24"/>
              <w:lang w:val="en-GB"/>
            </w:rPr>
            <w:endnoteReference w:id="1"/>
          </w:r>
          <w:r w:rsidR="00C468CC" w:rsidRPr="006B51C1">
            <w:rPr>
              <w:b/>
              <w:sz w:val="24"/>
              <w:szCs w:val="24"/>
              <w:lang w:val="en-GB"/>
            </w:rPr>
            <w:t xml:space="preserve">, and the new concept of </w:t>
          </w:r>
          <w:r w:rsidR="008B74CD">
            <w:rPr>
              <w:b/>
              <w:sz w:val="24"/>
              <w:szCs w:val="24"/>
              <w:lang w:val="en-GB"/>
            </w:rPr>
            <w:t>“</w:t>
          </w:r>
          <w:r w:rsidR="00C468CC" w:rsidRPr="006B51C1">
            <w:rPr>
              <w:b/>
              <w:sz w:val="24"/>
              <w:szCs w:val="24"/>
              <w:lang w:val="en-GB"/>
            </w:rPr>
            <w:t>ITS incubators</w:t>
          </w:r>
          <w:r w:rsidR="008B74CD">
            <w:rPr>
              <w:b/>
              <w:sz w:val="24"/>
              <w:szCs w:val="24"/>
              <w:lang w:val="en-GB"/>
            </w:rPr>
            <w:t>”</w:t>
          </w:r>
          <w:r w:rsidR="00C468CC" w:rsidRPr="006B51C1">
            <w:rPr>
              <w:b/>
              <w:sz w:val="24"/>
              <w:szCs w:val="24"/>
              <w:lang w:val="en-GB"/>
            </w:rPr>
            <w:t>.</w:t>
          </w:r>
        </w:p>
        <w:p w:rsidR="00C468CC" w:rsidRPr="006B51C1" w:rsidRDefault="00F40380" w:rsidP="000C1F2B">
          <w:pPr>
            <w:rPr>
              <w:sz w:val="24"/>
              <w:szCs w:val="24"/>
              <w:lang w:val="en-GB"/>
            </w:rPr>
          </w:pPr>
          <w:r w:rsidRPr="006B51C1">
            <w:rPr>
              <w:sz w:val="24"/>
              <w:szCs w:val="24"/>
              <w:lang w:val="en-GB"/>
            </w:rPr>
            <w:t xml:space="preserve">The main question that </w:t>
          </w:r>
          <w:r w:rsidR="00480913">
            <w:rPr>
              <w:sz w:val="24"/>
              <w:szCs w:val="24"/>
              <w:lang w:val="en-GB"/>
            </w:rPr>
            <w:t xml:space="preserve">the </w:t>
          </w:r>
          <w:r w:rsidR="00480913" w:rsidRPr="006B51C1">
            <w:rPr>
              <w:sz w:val="24"/>
              <w:szCs w:val="24"/>
              <w:lang w:val="en-GB"/>
            </w:rPr>
            <w:t>EU-funded SATIE Support Action</w:t>
          </w:r>
          <w:r w:rsidR="00480913">
            <w:rPr>
              <w:sz w:val="24"/>
              <w:szCs w:val="24"/>
              <w:lang w:val="en-GB"/>
            </w:rPr>
            <w:t xml:space="preserve"> </w:t>
          </w:r>
          <w:r w:rsidR="00343519">
            <w:rPr>
              <w:sz w:val="24"/>
              <w:szCs w:val="24"/>
              <w:lang w:val="en-GB"/>
            </w:rPr>
            <w:t xml:space="preserve">engaged </w:t>
          </w:r>
          <w:r w:rsidR="00480913">
            <w:rPr>
              <w:sz w:val="24"/>
              <w:szCs w:val="24"/>
              <w:lang w:val="en-GB"/>
            </w:rPr>
            <w:t xml:space="preserve">to answer </w:t>
          </w:r>
          <w:r>
            <w:rPr>
              <w:sz w:val="24"/>
              <w:szCs w:val="24"/>
              <w:lang w:val="en-GB"/>
            </w:rPr>
            <w:t>is:</w:t>
          </w:r>
          <w:r w:rsidRPr="006B51C1">
            <w:rPr>
              <w:sz w:val="24"/>
              <w:szCs w:val="24"/>
              <w:lang w:val="en-GB"/>
            </w:rPr>
            <w:t xml:space="preserve"> </w:t>
          </w:r>
          <w:r w:rsidR="00343519">
            <w:rPr>
              <w:sz w:val="24"/>
              <w:szCs w:val="24"/>
              <w:lang w:val="en-GB"/>
            </w:rPr>
            <w:t>What kind of</w:t>
          </w:r>
          <w:r w:rsidR="00C468CC" w:rsidRPr="006B51C1">
            <w:rPr>
              <w:sz w:val="24"/>
              <w:szCs w:val="24"/>
              <w:lang w:val="en-GB"/>
            </w:rPr>
            <w:t xml:space="preserve"> large scale actions </w:t>
          </w:r>
          <w:r w:rsidR="00343519">
            <w:rPr>
              <w:sz w:val="24"/>
              <w:szCs w:val="24"/>
              <w:lang w:val="en-GB"/>
            </w:rPr>
            <w:t xml:space="preserve">could </w:t>
          </w:r>
          <w:r w:rsidR="00C468CC" w:rsidRPr="006B51C1">
            <w:rPr>
              <w:sz w:val="24"/>
              <w:szCs w:val="24"/>
              <w:lang w:val="en-GB"/>
            </w:rPr>
            <w:t xml:space="preserve">be implemented to </w:t>
          </w:r>
          <w:r w:rsidR="00343519">
            <w:rPr>
              <w:sz w:val="24"/>
              <w:szCs w:val="24"/>
              <w:lang w:val="en-GB"/>
            </w:rPr>
            <w:t>accelerate the deployment of Information and Communication Technology (ICT)</w:t>
          </w:r>
          <w:r w:rsidR="00C468CC" w:rsidRPr="006B51C1">
            <w:rPr>
              <w:sz w:val="24"/>
              <w:szCs w:val="24"/>
              <w:lang w:val="en-GB"/>
            </w:rPr>
            <w:t xml:space="preserve"> for sustainable </w:t>
          </w:r>
          <w:r w:rsidR="005A0F93">
            <w:rPr>
              <w:sz w:val="24"/>
              <w:szCs w:val="24"/>
              <w:lang w:val="en-GB"/>
            </w:rPr>
            <w:t>mobility and transport?</w:t>
          </w:r>
          <w:r w:rsidR="009A71CD">
            <w:rPr>
              <w:sz w:val="24"/>
              <w:szCs w:val="24"/>
              <w:lang w:val="en-GB"/>
            </w:rPr>
            <w:t xml:space="preserve"> For Wil Botman, Chairman of the SATIE project and Senior Advisor for Public Affairs at the Royal Dutch Touring Club - ANWB, finding the answer to this question is essential, as “there is a lot of benefit to be gained in a joint approach of authorities, users and industry in bringing ICT for transport to the market in a concerted action throughout Europe.”</w:t>
          </w:r>
        </w:p>
        <w:p w:rsidR="005A0F93" w:rsidRDefault="00C70B44" w:rsidP="000C1F2B">
          <w:pPr>
            <w:rPr>
              <w:sz w:val="24"/>
              <w:szCs w:val="24"/>
              <w:lang w:val="en-GB"/>
            </w:rPr>
          </w:pPr>
          <w:r w:rsidRPr="006B51C1">
            <w:rPr>
              <w:sz w:val="24"/>
              <w:szCs w:val="24"/>
              <w:lang w:val="en-GB"/>
            </w:rPr>
            <w:t xml:space="preserve">The SATIE consortium </w:t>
          </w:r>
          <w:r w:rsidR="005A0F93">
            <w:rPr>
              <w:sz w:val="24"/>
              <w:szCs w:val="24"/>
              <w:lang w:val="en-GB"/>
            </w:rPr>
            <w:t>will explore how</w:t>
          </w:r>
          <w:r w:rsidRPr="006B51C1">
            <w:rPr>
              <w:sz w:val="24"/>
              <w:szCs w:val="24"/>
              <w:lang w:val="en-GB"/>
            </w:rPr>
            <w:t xml:space="preserve"> to overcome the barriers of ITS deployment and the f</w:t>
          </w:r>
          <w:r w:rsidR="00BE1E53" w:rsidRPr="006B51C1">
            <w:rPr>
              <w:sz w:val="24"/>
              <w:szCs w:val="24"/>
              <w:lang w:val="en-GB"/>
            </w:rPr>
            <w:t>ragmentation of ITS initiatives through the set-up of a truly interactive partnership community, the development of the concept of inc</w:t>
          </w:r>
          <w:r w:rsidR="005A0F93">
            <w:rPr>
              <w:sz w:val="24"/>
              <w:szCs w:val="24"/>
              <w:lang w:val="en-GB"/>
            </w:rPr>
            <w:t>ubators, and the integration of multi-level</w:t>
          </w:r>
          <w:r w:rsidR="00BE1E53" w:rsidRPr="006B51C1">
            <w:rPr>
              <w:sz w:val="24"/>
              <w:szCs w:val="24"/>
              <w:lang w:val="en-GB"/>
            </w:rPr>
            <w:t xml:space="preserve"> initiatives in a pan</w:t>
          </w:r>
          <w:r w:rsidR="005A0F93">
            <w:rPr>
              <w:sz w:val="24"/>
              <w:szCs w:val="24"/>
              <w:lang w:val="en-GB"/>
            </w:rPr>
            <w:t>-</w:t>
          </w:r>
          <w:r w:rsidR="00BE1E53" w:rsidRPr="006B51C1">
            <w:rPr>
              <w:sz w:val="24"/>
              <w:szCs w:val="24"/>
              <w:lang w:val="en-GB"/>
            </w:rPr>
            <w:t>European approach</w:t>
          </w:r>
          <w:r w:rsidR="005A0F93">
            <w:rPr>
              <w:sz w:val="24"/>
              <w:szCs w:val="24"/>
              <w:lang w:val="en-GB"/>
            </w:rPr>
            <w:t>, linki</w:t>
          </w:r>
          <w:r w:rsidR="00EC38B8">
            <w:rPr>
              <w:sz w:val="24"/>
              <w:szCs w:val="24"/>
              <w:lang w:val="en-GB"/>
            </w:rPr>
            <w:t xml:space="preserve">ng businesses, </w:t>
          </w:r>
          <w:proofErr w:type="gramStart"/>
          <w:r w:rsidR="00EC38B8">
            <w:rPr>
              <w:sz w:val="24"/>
              <w:szCs w:val="24"/>
              <w:lang w:val="en-GB"/>
            </w:rPr>
            <w:t>cities</w:t>
          </w:r>
          <w:proofErr w:type="gramEnd"/>
          <w:r w:rsidR="00EC38B8">
            <w:rPr>
              <w:sz w:val="24"/>
              <w:szCs w:val="24"/>
              <w:lang w:val="en-GB"/>
            </w:rPr>
            <w:t xml:space="preserve">, local, </w:t>
          </w:r>
          <w:r w:rsidR="005A0F93">
            <w:rPr>
              <w:sz w:val="24"/>
              <w:szCs w:val="24"/>
              <w:lang w:val="en-GB"/>
            </w:rPr>
            <w:t xml:space="preserve">national </w:t>
          </w:r>
          <w:r w:rsidR="00EC38B8">
            <w:rPr>
              <w:sz w:val="24"/>
              <w:szCs w:val="24"/>
              <w:lang w:val="en-GB"/>
            </w:rPr>
            <w:t xml:space="preserve">and EU </w:t>
          </w:r>
          <w:r w:rsidR="005A0F93">
            <w:rPr>
              <w:sz w:val="24"/>
              <w:szCs w:val="24"/>
              <w:lang w:val="en-GB"/>
            </w:rPr>
            <w:t>governments and the European Union</w:t>
          </w:r>
          <w:r w:rsidR="00BE1E53" w:rsidRPr="006B51C1">
            <w:rPr>
              <w:sz w:val="24"/>
              <w:szCs w:val="24"/>
              <w:lang w:val="en-GB"/>
            </w:rPr>
            <w:t>.</w:t>
          </w:r>
        </w:p>
        <w:p w:rsidR="00BE1E53" w:rsidRPr="006B51C1" w:rsidRDefault="005A0F93" w:rsidP="000C1F2B">
          <w:pPr>
            <w:rPr>
              <w:sz w:val="24"/>
              <w:szCs w:val="24"/>
              <w:lang w:val="en-GB"/>
            </w:rPr>
          </w:pPr>
          <w:r>
            <w:rPr>
              <w:sz w:val="24"/>
              <w:szCs w:val="24"/>
              <w:lang w:val="en-GB"/>
            </w:rPr>
            <w:t>Each of the p</w:t>
          </w:r>
          <w:r w:rsidR="00BE1E53" w:rsidRPr="006B51C1">
            <w:rPr>
              <w:sz w:val="24"/>
              <w:szCs w:val="24"/>
              <w:lang w:val="en-GB"/>
            </w:rPr>
            <w:t xml:space="preserve">artners of SATIE </w:t>
          </w:r>
          <w:r>
            <w:rPr>
              <w:sz w:val="24"/>
              <w:szCs w:val="24"/>
              <w:lang w:val="en-GB"/>
            </w:rPr>
            <w:t>has</w:t>
          </w:r>
          <w:r w:rsidR="00BE1E53" w:rsidRPr="006B51C1">
            <w:rPr>
              <w:sz w:val="24"/>
              <w:szCs w:val="24"/>
              <w:lang w:val="en-GB"/>
            </w:rPr>
            <w:t xml:space="preserve"> a long experience in </w:t>
          </w:r>
          <w:r>
            <w:rPr>
              <w:sz w:val="24"/>
              <w:szCs w:val="24"/>
              <w:lang w:val="en-GB"/>
            </w:rPr>
            <w:t xml:space="preserve">supporting the deployment of </w:t>
          </w:r>
          <w:proofErr w:type="gramStart"/>
          <w:r w:rsidR="00BE1E53" w:rsidRPr="006B51C1">
            <w:rPr>
              <w:sz w:val="24"/>
              <w:szCs w:val="24"/>
              <w:lang w:val="en-GB"/>
            </w:rPr>
            <w:t>ITS</w:t>
          </w:r>
          <w:proofErr w:type="gramEnd"/>
          <w:r w:rsidR="00FD140E">
            <w:rPr>
              <w:sz w:val="24"/>
              <w:szCs w:val="24"/>
              <w:lang w:val="en-GB"/>
            </w:rPr>
            <w:t xml:space="preserve">, and shares the goal to make </w:t>
          </w:r>
          <w:r w:rsidR="00BE1E53" w:rsidRPr="006B51C1">
            <w:rPr>
              <w:sz w:val="24"/>
              <w:szCs w:val="24"/>
              <w:lang w:val="en-GB"/>
            </w:rPr>
            <w:t>European initiatives more efficient</w:t>
          </w:r>
          <w:r w:rsidR="00FD140E">
            <w:rPr>
              <w:sz w:val="24"/>
              <w:szCs w:val="24"/>
              <w:lang w:val="en-GB"/>
            </w:rPr>
            <w:t xml:space="preserve"> and effective.</w:t>
          </w:r>
          <w:r w:rsidR="00BE1E53" w:rsidRPr="006B51C1">
            <w:rPr>
              <w:sz w:val="24"/>
              <w:szCs w:val="24"/>
              <w:lang w:val="en-GB"/>
            </w:rPr>
            <w:t xml:space="preserve"> </w:t>
          </w:r>
          <w:r w:rsidR="00FD140E">
            <w:rPr>
              <w:sz w:val="24"/>
              <w:szCs w:val="24"/>
              <w:lang w:val="en-GB"/>
            </w:rPr>
            <w:lastRenderedPageBreak/>
            <w:t>T</w:t>
          </w:r>
          <w:r w:rsidR="00BE1E53" w:rsidRPr="006B51C1">
            <w:rPr>
              <w:sz w:val="24"/>
              <w:szCs w:val="24"/>
              <w:lang w:val="en-GB"/>
            </w:rPr>
            <w:t xml:space="preserve">hey </w:t>
          </w:r>
          <w:r w:rsidR="00FD140E">
            <w:rPr>
              <w:sz w:val="24"/>
              <w:szCs w:val="24"/>
              <w:lang w:val="en-GB"/>
            </w:rPr>
            <w:t>are convinced</w:t>
          </w:r>
          <w:r w:rsidR="00BE1E53" w:rsidRPr="006B51C1">
            <w:rPr>
              <w:sz w:val="24"/>
              <w:szCs w:val="24"/>
              <w:lang w:val="en-GB"/>
            </w:rPr>
            <w:t xml:space="preserve"> that European large scale action</w:t>
          </w:r>
          <w:r w:rsidR="00FD140E">
            <w:rPr>
              <w:sz w:val="24"/>
              <w:szCs w:val="24"/>
              <w:lang w:val="en-GB"/>
            </w:rPr>
            <w:t>s can bring the momentum needed: Wil Botman believes that</w:t>
          </w:r>
          <w:r w:rsidR="009A71CD">
            <w:rPr>
              <w:sz w:val="24"/>
              <w:szCs w:val="24"/>
              <w:lang w:val="en-GB"/>
            </w:rPr>
            <w:t xml:space="preserve"> “</w:t>
          </w:r>
          <w:r w:rsidR="00FD140E">
            <w:rPr>
              <w:sz w:val="24"/>
              <w:szCs w:val="24"/>
              <w:lang w:val="en-GB"/>
            </w:rPr>
            <w:t>w</w:t>
          </w:r>
          <w:r w:rsidR="009A71CD">
            <w:rPr>
              <w:sz w:val="24"/>
              <w:szCs w:val="24"/>
              <w:lang w:val="en-GB"/>
            </w:rPr>
            <w:t>orking together throughout Europe will be more cost-efficient and quicker in bringing ICT to the market. In this way, road safety, the environment and the efficiency of our mobility system will be improved considerably”.</w:t>
          </w:r>
        </w:p>
        <w:p w:rsidR="00BE1E53" w:rsidRPr="006B51C1" w:rsidRDefault="00BE1E53" w:rsidP="000C1F2B">
          <w:pPr>
            <w:rPr>
              <w:sz w:val="24"/>
              <w:szCs w:val="24"/>
              <w:lang w:val="en-GB"/>
            </w:rPr>
          </w:pPr>
          <w:r w:rsidRPr="006B51C1">
            <w:rPr>
              <w:sz w:val="24"/>
              <w:szCs w:val="24"/>
              <w:lang w:val="en-GB"/>
            </w:rPr>
            <w:t>To achieve these goals, SATIE will rely on its partners</w:t>
          </w:r>
          <w:r w:rsidR="005C320F" w:rsidRPr="006B51C1">
            <w:rPr>
              <w:sz w:val="24"/>
              <w:szCs w:val="24"/>
              <w:lang w:val="en-GB"/>
            </w:rPr>
            <w:t xml:space="preserve"> and their constituencies</w:t>
          </w:r>
          <w:r w:rsidRPr="006B51C1">
            <w:rPr>
              <w:sz w:val="24"/>
              <w:szCs w:val="24"/>
              <w:lang w:val="en-GB"/>
            </w:rPr>
            <w:t>, representin</w:t>
          </w:r>
          <w:r w:rsidR="00EC38B8">
            <w:rPr>
              <w:sz w:val="24"/>
              <w:szCs w:val="24"/>
              <w:lang w:val="en-GB"/>
            </w:rPr>
            <w:t>g</w:t>
          </w:r>
          <w:r w:rsidRPr="006B51C1">
            <w:rPr>
              <w:sz w:val="24"/>
              <w:szCs w:val="24"/>
              <w:lang w:val="en-GB"/>
            </w:rPr>
            <w:t xml:space="preserve"> important stakeholders</w:t>
          </w:r>
          <w:r w:rsidR="005C320F" w:rsidRPr="006B51C1">
            <w:rPr>
              <w:sz w:val="24"/>
              <w:szCs w:val="24"/>
              <w:lang w:val="en-GB"/>
            </w:rPr>
            <w:t xml:space="preserve"> from both demand and supply sides: public authorities (Swedish Transport Administration), road operators (ASECAP), users (ANWB), industry (EUCAR</w:t>
          </w:r>
          <w:r w:rsidR="007901B7">
            <w:rPr>
              <w:sz w:val="24"/>
              <w:szCs w:val="24"/>
              <w:lang w:val="en-GB"/>
            </w:rPr>
            <w:t>, PTV</w:t>
          </w:r>
          <w:r w:rsidR="005C320F" w:rsidRPr="006B51C1">
            <w:rPr>
              <w:sz w:val="24"/>
              <w:szCs w:val="24"/>
              <w:lang w:val="en-GB"/>
            </w:rPr>
            <w:t>), research organisations (TNO, VTT, IFSTTAR)</w:t>
          </w:r>
          <w:r w:rsidR="00F40380">
            <w:rPr>
              <w:sz w:val="24"/>
              <w:szCs w:val="24"/>
              <w:lang w:val="en-GB"/>
            </w:rPr>
            <w:t>,</w:t>
          </w:r>
          <w:r w:rsidR="006B51C1" w:rsidRPr="006B51C1">
            <w:rPr>
              <w:sz w:val="24"/>
              <w:szCs w:val="24"/>
              <w:lang w:val="en-GB"/>
            </w:rPr>
            <w:t xml:space="preserve"> and multi-sector </w:t>
          </w:r>
          <w:r w:rsidR="00EC38B8">
            <w:rPr>
              <w:sz w:val="24"/>
              <w:szCs w:val="24"/>
              <w:lang w:val="en-GB"/>
            </w:rPr>
            <w:t>partnerships</w:t>
          </w:r>
          <w:r w:rsidR="006B51C1" w:rsidRPr="006B51C1">
            <w:rPr>
              <w:sz w:val="24"/>
              <w:szCs w:val="24"/>
              <w:lang w:val="en-GB"/>
            </w:rPr>
            <w:t xml:space="preserve"> (ERTICO – ITS Europe</w:t>
          </w:r>
          <w:r w:rsidR="006B51C1">
            <w:rPr>
              <w:sz w:val="24"/>
              <w:szCs w:val="24"/>
              <w:lang w:val="en-GB"/>
            </w:rPr>
            <w:t xml:space="preserve"> and</w:t>
          </w:r>
          <w:r w:rsidR="006B51C1" w:rsidRPr="006B51C1">
            <w:rPr>
              <w:sz w:val="24"/>
              <w:szCs w:val="24"/>
              <w:lang w:val="en-GB"/>
            </w:rPr>
            <w:t xml:space="preserve"> ITS Network Germany).</w:t>
          </w:r>
          <w:r w:rsidR="009A71CD">
            <w:rPr>
              <w:sz w:val="24"/>
              <w:szCs w:val="24"/>
              <w:lang w:val="en-GB"/>
            </w:rPr>
            <w:t xml:space="preserve"> </w:t>
          </w:r>
        </w:p>
        <w:p w:rsidR="000C1F2B" w:rsidRPr="006B51C1" w:rsidRDefault="000C1F2B" w:rsidP="000C1F2B">
          <w:pPr>
            <w:rPr>
              <w:b/>
              <w:sz w:val="24"/>
              <w:szCs w:val="24"/>
              <w:lang w:val="en-GB"/>
            </w:rPr>
          </w:pPr>
          <w:r w:rsidRPr="006B51C1">
            <w:rPr>
              <w:b/>
              <w:sz w:val="24"/>
              <w:szCs w:val="24"/>
              <w:lang w:val="en-GB"/>
            </w:rPr>
            <w:t>Note to the editor:</w:t>
          </w:r>
        </w:p>
        <w:p w:rsidR="000C1F2B" w:rsidRPr="006B51C1" w:rsidRDefault="000C1F2B" w:rsidP="000C1F2B">
          <w:pPr>
            <w:rPr>
              <w:b/>
              <w:sz w:val="24"/>
              <w:szCs w:val="24"/>
              <w:lang w:val="en-GB"/>
            </w:rPr>
          </w:pPr>
          <w:r w:rsidRPr="006B51C1">
            <w:rPr>
              <w:b/>
              <w:bCs/>
              <w:sz w:val="24"/>
              <w:szCs w:val="24"/>
              <w:lang w:val="en-GB"/>
            </w:rPr>
            <w:t xml:space="preserve">SATIE </w:t>
          </w:r>
          <w:r w:rsidRPr="006B51C1">
            <w:rPr>
              <w:sz w:val="24"/>
              <w:szCs w:val="24"/>
              <w:lang w:val="en-GB"/>
            </w:rPr>
            <w:t xml:space="preserve">– </w:t>
          </w:r>
          <w:r w:rsidRPr="006B51C1">
            <w:rPr>
              <w:b/>
              <w:sz w:val="24"/>
              <w:szCs w:val="24"/>
              <w:lang w:val="en-GB"/>
            </w:rPr>
            <w:t>Support Action for a Transport-ICT European large scale action</w:t>
          </w:r>
        </w:p>
        <w:p w:rsidR="00996AB5" w:rsidRDefault="000C1F2B" w:rsidP="00996AB5">
          <w:pPr>
            <w:spacing w:line="240" w:lineRule="auto"/>
            <w:rPr>
              <w:sz w:val="24"/>
              <w:szCs w:val="24"/>
              <w:lang w:val="en-GB"/>
            </w:rPr>
          </w:pPr>
          <w:r w:rsidRPr="006B51C1">
            <w:rPr>
              <w:sz w:val="24"/>
              <w:szCs w:val="24"/>
              <w:lang w:val="en-GB"/>
            </w:rPr>
            <w:t xml:space="preserve">SATIE </w:t>
          </w:r>
          <w:r w:rsidR="006B51C1" w:rsidRPr="006B51C1">
            <w:rPr>
              <w:sz w:val="24"/>
              <w:szCs w:val="24"/>
              <w:lang w:val="en-GB"/>
            </w:rPr>
            <w:t>is a support action funded by the European Commission, Directorate General Information Society and Media, under the 7</w:t>
          </w:r>
          <w:r w:rsidR="006B51C1" w:rsidRPr="006B51C1">
            <w:rPr>
              <w:sz w:val="24"/>
              <w:szCs w:val="24"/>
              <w:vertAlign w:val="superscript"/>
              <w:lang w:val="en-GB"/>
            </w:rPr>
            <w:t>th</w:t>
          </w:r>
          <w:r w:rsidR="006B51C1" w:rsidRPr="006B51C1">
            <w:rPr>
              <w:sz w:val="24"/>
              <w:szCs w:val="24"/>
              <w:lang w:val="en-GB"/>
            </w:rPr>
            <w:t xml:space="preserve"> Framework for Research and Development. </w:t>
          </w:r>
          <w:r w:rsidR="006B51C1">
            <w:rPr>
              <w:sz w:val="24"/>
              <w:szCs w:val="24"/>
              <w:lang w:val="en-GB"/>
            </w:rPr>
            <w:t>It will support the European Commissio</w:t>
          </w:r>
          <w:r w:rsidR="007901B7">
            <w:rPr>
              <w:sz w:val="24"/>
              <w:szCs w:val="24"/>
              <w:lang w:val="en-GB"/>
            </w:rPr>
            <w:t>n in the establishment of Europe</w:t>
          </w:r>
          <w:r w:rsidR="006B51C1">
            <w:rPr>
              <w:sz w:val="24"/>
              <w:szCs w:val="24"/>
              <w:lang w:val="en-GB"/>
            </w:rPr>
            <w:t>an large scale actions spanning research, innovation and deployment of Intelligent Transport Systems and Services for sustainable mobility and transport.</w:t>
          </w:r>
        </w:p>
        <w:p w:rsidR="000C1F2B" w:rsidRPr="00DF7452" w:rsidRDefault="00996AB5" w:rsidP="0083007D">
          <w:pPr>
            <w:spacing w:after="240" w:line="240" w:lineRule="auto"/>
            <w:rPr>
              <w:sz w:val="24"/>
              <w:szCs w:val="24"/>
              <w:lang w:val="en-GB"/>
            </w:rPr>
          </w:pPr>
          <w:r>
            <w:rPr>
              <w:sz w:val="24"/>
              <w:szCs w:val="24"/>
              <w:lang w:val="en-GB"/>
            </w:rPr>
            <w:t xml:space="preserve">More information available on: </w:t>
          </w:r>
          <w:hyperlink r:id="rId8" w:history="1">
            <w:r w:rsidRPr="00DE292E">
              <w:rPr>
                <w:rStyle w:val="Hyperlink"/>
                <w:sz w:val="24"/>
                <w:szCs w:val="24"/>
                <w:lang w:val="en-GB"/>
              </w:rPr>
              <w:t>www.SATIE.eu</w:t>
            </w:r>
          </w:hyperlink>
          <w:r>
            <w:rPr>
              <w:sz w:val="24"/>
              <w:szCs w:val="24"/>
              <w:lang w:val="en-GB"/>
            </w:rPr>
            <w:t xml:space="preserve"> (as of October).</w:t>
          </w:r>
        </w:p>
      </w:sdtContent>
    </w:sdt>
    <w:p w:rsidR="007901B7" w:rsidRDefault="000256B1" w:rsidP="0083007D">
      <w:pPr>
        <w:spacing w:before="120" w:after="0" w:line="480" w:lineRule="auto"/>
        <w:rPr>
          <w:b/>
          <w:sz w:val="24"/>
          <w:szCs w:val="24"/>
          <w:lang w:val="en-GB"/>
        </w:rPr>
      </w:pPr>
      <w:r>
        <w:rPr>
          <w:b/>
          <w:sz w:val="24"/>
          <w:szCs w:val="24"/>
          <w:lang w:val="en-GB"/>
        </w:rPr>
        <w:t>The ELSA Task Force</w:t>
      </w:r>
    </w:p>
    <w:p w:rsidR="00996AB5" w:rsidRDefault="000256B1" w:rsidP="00996AB5">
      <w:pPr>
        <w:spacing w:line="240" w:lineRule="auto"/>
        <w:rPr>
          <w:sz w:val="24"/>
          <w:szCs w:val="24"/>
          <w:lang w:val="en-GB"/>
        </w:rPr>
      </w:pPr>
      <w:r>
        <w:rPr>
          <w:sz w:val="24"/>
          <w:szCs w:val="24"/>
          <w:lang w:val="en-GB"/>
        </w:rPr>
        <w:t xml:space="preserve">The </w:t>
      </w:r>
      <w:proofErr w:type="spellStart"/>
      <w:r>
        <w:rPr>
          <w:sz w:val="24"/>
          <w:szCs w:val="24"/>
          <w:lang w:val="en-GB"/>
        </w:rPr>
        <w:t>iMobility</w:t>
      </w:r>
      <w:proofErr w:type="spellEnd"/>
      <w:r>
        <w:rPr>
          <w:sz w:val="24"/>
          <w:szCs w:val="24"/>
          <w:lang w:val="en-GB"/>
        </w:rPr>
        <w:t xml:space="preserve"> Forum Steering Group founded an ELSA Task Force on 16 December 2009. The goal of the Task Force was to deliver a proposal to the European Commis</w:t>
      </w:r>
      <w:r w:rsidR="00996AB5">
        <w:rPr>
          <w:sz w:val="24"/>
          <w:szCs w:val="24"/>
          <w:lang w:val="en-GB"/>
        </w:rPr>
        <w:t>s</w:t>
      </w:r>
      <w:r>
        <w:rPr>
          <w:sz w:val="24"/>
          <w:szCs w:val="24"/>
          <w:lang w:val="en-GB"/>
        </w:rPr>
        <w:t xml:space="preserve">ion on what an </w:t>
      </w:r>
      <w:r w:rsidR="00996AB5">
        <w:rPr>
          <w:sz w:val="24"/>
          <w:szCs w:val="24"/>
          <w:lang w:val="en-GB"/>
        </w:rPr>
        <w:t>ELSA in Transport should address and how it should be organised. The Task Force organised a consultation with the demand side (authorities and users) and the supply side (industry) to assess the objectives of the demand side and the possible response of the industry. The proposal was delivered to the European Commission in October 2010 in the Report “Towards a Transport-ICT ELSA”, available here:</w:t>
      </w:r>
    </w:p>
    <w:p w:rsidR="000256B1" w:rsidRDefault="00C048C5" w:rsidP="000C1F2B">
      <w:pPr>
        <w:spacing w:line="480" w:lineRule="auto"/>
        <w:rPr>
          <w:sz w:val="24"/>
          <w:szCs w:val="24"/>
          <w:lang w:val="en-GB"/>
        </w:rPr>
      </w:pPr>
      <w:hyperlink r:id="rId9" w:history="1">
        <w:r w:rsidR="00996AB5" w:rsidRPr="00DE292E">
          <w:rPr>
            <w:rStyle w:val="Hyperlink"/>
            <w:sz w:val="24"/>
            <w:szCs w:val="24"/>
            <w:lang w:val="en-GB"/>
          </w:rPr>
          <w:t>http://ec.europa.eu/information_society/activities/esafety/doc/library/elsa_report.pdf</w:t>
        </w:r>
      </w:hyperlink>
    </w:p>
    <w:p w:rsidR="000C1F2B" w:rsidRPr="006B51C1" w:rsidRDefault="00DF7452" w:rsidP="000C1F2B">
      <w:pPr>
        <w:spacing w:line="480" w:lineRule="auto"/>
        <w:rPr>
          <w:b/>
          <w:sz w:val="24"/>
          <w:szCs w:val="24"/>
          <w:lang w:val="en-GB"/>
        </w:rPr>
      </w:pPr>
      <w:r>
        <w:rPr>
          <w:b/>
          <w:sz w:val="24"/>
          <w:szCs w:val="24"/>
          <w:lang w:val="en-GB"/>
        </w:rPr>
        <w:t>Contacts:</w:t>
      </w:r>
    </w:p>
    <w:p w:rsidR="000C1F2B" w:rsidRDefault="00DF7452" w:rsidP="00996AB5">
      <w:pPr>
        <w:spacing w:after="0" w:line="240" w:lineRule="auto"/>
        <w:rPr>
          <w:sz w:val="24"/>
          <w:szCs w:val="24"/>
          <w:lang w:val="en-GB"/>
        </w:rPr>
      </w:pPr>
      <w:r>
        <w:rPr>
          <w:sz w:val="24"/>
          <w:szCs w:val="24"/>
          <w:lang w:val="en-GB"/>
        </w:rPr>
        <w:t>Sébastien Mure</w:t>
      </w:r>
    </w:p>
    <w:p w:rsidR="00DF7452" w:rsidRPr="00DF7452" w:rsidRDefault="00DF7452" w:rsidP="00996AB5">
      <w:pPr>
        <w:spacing w:line="240" w:lineRule="auto"/>
        <w:rPr>
          <w:sz w:val="24"/>
          <w:szCs w:val="24"/>
          <w:lang w:val="en-GB"/>
        </w:rPr>
      </w:pPr>
      <w:r w:rsidRPr="00DF7452">
        <w:rPr>
          <w:sz w:val="24"/>
          <w:szCs w:val="24"/>
          <w:lang w:val="en-GB"/>
        </w:rPr>
        <w:t>Project Support Manager</w:t>
      </w:r>
    </w:p>
    <w:p w:rsidR="00DF7452" w:rsidRPr="00DF7452" w:rsidRDefault="00DF7452" w:rsidP="00996AB5">
      <w:pPr>
        <w:spacing w:line="240" w:lineRule="auto"/>
        <w:rPr>
          <w:sz w:val="24"/>
          <w:szCs w:val="24"/>
          <w:lang w:val="en-GB"/>
        </w:rPr>
      </w:pPr>
      <w:r w:rsidRPr="00DF7452">
        <w:rPr>
          <w:sz w:val="24"/>
          <w:szCs w:val="24"/>
          <w:lang w:val="en-GB"/>
        </w:rPr>
        <w:t>ERTICO – ITS Europe</w:t>
      </w:r>
    </w:p>
    <w:p w:rsidR="00DF7452" w:rsidRPr="00DF7452" w:rsidRDefault="00DF7452" w:rsidP="00996AB5">
      <w:pPr>
        <w:spacing w:line="240" w:lineRule="auto"/>
        <w:rPr>
          <w:sz w:val="24"/>
          <w:szCs w:val="24"/>
          <w:lang w:val="en-GB"/>
        </w:rPr>
      </w:pPr>
      <w:r w:rsidRPr="00DF7452">
        <w:rPr>
          <w:sz w:val="24"/>
          <w:szCs w:val="24"/>
          <w:lang w:val="en-GB"/>
        </w:rPr>
        <w:t>s.mure@mail.ertico.com</w:t>
      </w:r>
    </w:p>
    <w:p w:rsidR="00414D5A" w:rsidRPr="00DF7452" w:rsidRDefault="00DF7452" w:rsidP="00996AB5">
      <w:pPr>
        <w:spacing w:line="240" w:lineRule="auto"/>
        <w:rPr>
          <w:sz w:val="24"/>
          <w:szCs w:val="24"/>
        </w:rPr>
      </w:pPr>
      <w:r w:rsidRPr="00DF7452">
        <w:rPr>
          <w:sz w:val="24"/>
          <w:szCs w:val="24"/>
        </w:rPr>
        <w:t>+32 2 400 07 42</w:t>
      </w:r>
    </w:p>
    <w:sectPr w:rsidR="00414D5A" w:rsidRPr="00DF7452" w:rsidSect="007533CA">
      <w:headerReference w:type="default" r:id="rId10"/>
      <w:footerReference w:type="even" r:id="rId11"/>
      <w:footerReference w:type="default" r:id="rId12"/>
      <w:headerReference w:type="first" r:id="rId13"/>
      <w:footerReference w:type="first" r:id="rId14"/>
      <w:pgSz w:w="11907" w:h="16839"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6D" w:rsidRDefault="0079116D" w:rsidP="000C1F2B">
      <w:r>
        <w:separator/>
      </w:r>
    </w:p>
  </w:endnote>
  <w:endnote w:type="continuationSeparator" w:id="0">
    <w:p w:rsidR="0079116D" w:rsidRDefault="0079116D" w:rsidP="000C1F2B">
      <w:r>
        <w:continuationSeparator/>
      </w:r>
    </w:p>
  </w:endnote>
  <w:endnote w:id="1">
    <w:p w:rsidR="00444B0E" w:rsidRDefault="00444B0E">
      <w:pPr>
        <w:pStyle w:val="EndnoteText"/>
      </w:pPr>
      <w:r>
        <w:rPr>
          <w:rStyle w:val="EndnoteReference"/>
        </w:rPr>
        <w:endnoteRef/>
      </w:r>
      <w:r>
        <w:t xml:space="preserve"> </w:t>
      </w:r>
      <w:hyperlink r:id="rId1" w:history="1">
        <w:r w:rsidRPr="00DE292E">
          <w:rPr>
            <w:rStyle w:val="Hyperlink"/>
          </w:rPr>
          <w:t>http://www.icarsupport.eu/esafety-forum/esafety-forum-tf-elsa/?menu=2</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5F" w:rsidRDefault="005C6B5F" w:rsidP="000C1F2B">
    <w:pPr>
      <w:pStyle w:val="Footer"/>
    </w:pPr>
    <w:r>
      <w:rPr>
        <w:noProof/>
        <w:lang w:val="en-GB" w:eastAsia="en-GB"/>
      </w:rPr>
      <w:drawing>
        <wp:anchor distT="0" distB="0" distL="114300" distR="114300" simplePos="0" relativeHeight="251656704" behindDoc="1" locked="0" layoutInCell="1" allowOverlap="1">
          <wp:simplePos x="0" y="0"/>
          <wp:positionH relativeFrom="margin">
            <wp:posOffset>1092200</wp:posOffset>
          </wp:positionH>
          <wp:positionV relativeFrom="margin">
            <wp:posOffset>9382125</wp:posOffset>
          </wp:positionV>
          <wp:extent cx="5685790" cy="536575"/>
          <wp:effectExtent l="19050" t="0" r="0" b="0"/>
          <wp:wrapSquare wrapText="bothSides"/>
          <wp:docPr id="6" name="Picture 5" descr="SATIE_graph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E_graph_footer.png"/>
                  <pic:cNvPicPr/>
                </pic:nvPicPr>
                <pic:blipFill>
                  <a:blip r:embed="rId1"/>
                  <a:stretch>
                    <a:fillRect/>
                  </a:stretch>
                </pic:blipFill>
                <pic:spPr>
                  <a:xfrm>
                    <a:off x="0" y="0"/>
                    <a:ext cx="5685790" cy="53657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32"/>
      <w:docPartObj>
        <w:docPartGallery w:val="Page Numbers (Bottom of Page)"/>
        <w:docPartUnique/>
      </w:docPartObj>
    </w:sdtPr>
    <w:sdtContent>
      <w:p w:rsidR="005C6B5F" w:rsidRDefault="00C048C5" w:rsidP="000C1F2B">
        <w:pPr>
          <w:pStyle w:val="Footer"/>
        </w:pPr>
        <w:fldSimple w:instr=" PAGE   \* MERGEFORMAT ">
          <w:r w:rsidR="006E335E">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5F" w:rsidRDefault="00C048C5" w:rsidP="000C1F2B">
    <w:pPr>
      <w:pStyle w:val="Footer"/>
    </w:pPr>
    <w:r>
      <w:rPr>
        <w:noProof/>
        <w:lang w:val="en-GB" w:eastAsia="en-GB"/>
      </w:rPr>
      <w:pict>
        <v:roundrect id="_x0000_s2050" style="position:absolute;left:0;text-align:left;margin-left:172.75pt;margin-top:-24.95pt;width:318pt;height:50.25pt;z-index:251663872" arcsize="10923f" strokecolor="white [3212]">
          <v:textbox style="mso-next-textbox:#_x0000_s2050">
            <w:txbxContent>
              <w:p w:rsidR="005C6B5F" w:rsidRPr="007901B7" w:rsidRDefault="005C6B5F" w:rsidP="000C1F2B">
                <w:pPr>
                  <w:pStyle w:val="ECquote"/>
                  <w:rPr>
                    <w:lang w:val="en-GB"/>
                  </w:rPr>
                </w:pPr>
                <w:r w:rsidRPr="007901B7">
                  <w:rPr>
                    <w:lang w:val="en-GB"/>
                  </w:rPr>
                  <w:t>Project funded by the European Commission</w:t>
                </w:r>
              </w:p>
              <w:p w:rsidR="005C6B5F" w:rsidRPr="007901B7" w:rsidRDefault="005C6B5F" w:rsidP="000C1F2B">
                <w:pPr>
                  <w:pStyle w:val="ECquote"/>
                  <w:rPr>
                    <w:lang w:val="en-GB"/>
                  </w:rPr>
                </w:pPr>
                <w:r w:rsidRPr="007901B7">
                  <w:rPr>
                    <w:lang w:val="en-GB"/>
                  </w:rPr>
                  <w:t>7th Framework Programme for Research and Development</w:t>
                </w:r>
              </w:p>
              <w:p w:rsidR="005C6B5F" w:rsidRPr="007901B7" w:rsidRDefault="005C6B5F" w:rsidP="000C1F2B">
                <w:pPr>
                  <w:pStyle w:val="ECquote"/>
                  <w:rPr>
                    <w:lang w:val="en-GB"/>
                  </w:rPr>
                </w:pPr>
                <w:r w:rsidRPr="007901B7">
                  <w:rPr>
                    <w:lang w:val="en-GB"/>
                  </w:rPr>
                  <w:t>Directorate General Information Society and Media</w:t>
                </w:r>
              </w:p>
            </w:txbxContent>
          </v:textbox>
        </v:roundrect>
      </w:pict>
    </w:r>
    <w:r w:rsidR="005C6B5F">
      <w:rPr>
        <w:noProof/>
        <w:lang w:val="en-GB" w:eastAsia="en-GB"/>
      </w:rPr>
      <w:drawing>
        <wp:anchor distT="0" distB="0" distL="114300" distR="114300" simplePos="0" relativeHeight="251662848" behindDoc="0" locked="0" layoutInCell="1" allowOverlap="1">
          <wp:simplePos x="0" y="0"/>
          <wp:positionH relativeFrom="column">
            <wp:posOffset>1053746</wp:posOffset>
          </wp:positionH>
          <wp:positionV relativeFrom="paragraph">
            <wp:posOffset>-330289</wp:posOffset>
          </wp:positionV>
          <wp:extent cx="984058" cy="659219"/>
          <wp:effectExtent l="19050" t="0" r="6542" b="0"/>
          <wp:wrapNone/>
          <wp:docPr id="7" name="Picture 2" descr="G:\PublicArea\Activities\2.Proposals_Current\SATIE\Dissemination\Materials (logo &amp; pictures)\EC logos\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cArea\Activities\2.Proposals_Current\SATIE\Dissemination\Materials (logo &amp; pictures)\EC logos\EU_flag.jpg"/>
                  <pic:cNvPicPr>
                    <a:picLocks noChangeAspect="1" noChangeArrowheads="1"/>
                  </pic:cNvPicPr>
                </pic:nvPicPr>
                <pic:blipFill>
                  <a:blip r:embed="rId1" cstate="print"/>
                  <a:srcRect/>
                  <a:stretch>
                    <a:fillRect/>
                  </a:stretch>
                </pic:blipFill>
                <pic:spPr bwMode="auto">
                  <a:xfrm>
                    <a:off x="0" y="0"/>
                    <a:ext cx="984058" cy="659219"/>
                  </a:xfrm>
                  <a:prstGeom prst="rect">
                    <a:avLst/>
                  </a:prstGeom>
                  <a:noFill/>
                  <a:ln w="9525">
                    <a:noFill/>
                    <a:miter lim="800000"/>
                    <a:headEnd/>
                    <a:tailEnd/>
                  </a:ln>
                </pic:spPr>
              </pic:pic>
            </a:graphicData>
          </a:graphic>
        </wp:anchor>
      </w:drawing>
    </w:r>
    <w:r w:rsidR="005C6B5F">
      <w:rPr>
        <w:noProof/>
        <w:lang w:val="en-GB" w:eastAsia="en-GB"/>
      </w:rPr>
      <w:drawing>
        <wp:anchor distT="0" distB="0" distL="114300" distR="114300" simplePos="0" relativeHeight="251660800" behindDoc="0" locked="0" layoutInCell="1" allowOverlap="1">
          <wp:simplePos x="0" y="0"/>
          <wp:positionH relativeFrom="column">
            <wp:posOffset>96815</wp:posOffset>
          </wp:positionH>
          <wp:positionV relativeFrom="paragraph">
            <wp:posOffset>-351554</wp:posOffset>
          </wp:positionV>
          <wp:extent cx="842188" cy="701749"/>
          <wp:effectExtent l="19050" t="0" r="0" b="0"/>
          <wp:wrapNone/>
          <wp:docPr id="5" name="Picture 2" desc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7-gen-RGB.gif"/>
                  <pic:cNvPicPr/>
                </pic:nvPicPr>
                <pic:blipFill>
                  <a:blip r:embed="rId2" cstate="print"/>
                  <a:stretch>
                    <a:fillRect/>
                  </a:stretch>
                </pic:blipFill>
                <pic:spPr>
                  <a:xfrm>
                    <a:off x="0" y="0"/>
                    <a:ext cx="842188" cy="70174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6D" w:rsidRDefault="0079116D" w:rsidP="000C1F2B">
      <w:r>
        <w:separator/>
      </w:r>
    </w:p>
  </w:footnote>
  <w:footnote w:type="continuationSeparator" w:id="0">
    <w:p w:rsidR="0079116D" w:rsidRDefault="0079116D" w:rsidP="000C1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5F" w:rsidRPr="00DF7452" w:rsidRDefault="005C6B5F" w:rsidP="000C1F2B">
    <w:pPr>
      <w:pStyle w:val="Header"/>
      <w:rPr>
        <w:lang w:val="en-GB"/>
      </w:rPr>
    </w:pPr>
    <w:r w:rsidRPr="00DF7452">
      <w:rPr>
        <w:lang w:val="en-GB"/>
      </w:rPr>
      <w:t>SATIE – Kick-off Meeting – Press R</w:t>
    </w:r>
    <w:r>
      <w:rPr>
        <w:lang w:val="en-GB"/>
      </w:rPr>
      <w:t>elease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5F" w:rsidRDefault="006E335E" w:rsidP="000C1F2B">
    <w:pPr>
      <w:pStyle w:val="Header"/>
    </w:pPr>
    <w:r>
      <w:rPr>
        <w:noProof/>
        <w:lang w:val="en-GB" w:eastAsia="en-GB"/>
      </w:rPr>
      <w:drawing>
        <wp:anchor distT="0" distB="0" distL="114300" distR="114300" simplePos="0" relativeHeight="251657728" behindDoc="1" locked="0" layoutInCell="1" allowOverlap="1">
          <wp:simplePos x="0" y="0"/>
          <wp:positionH relativeFrom="margin">
            <wp:posOffset>1010920</wp:posOffset>
          </wp:positionH>
          <wp:positionV relativeFrom="margin">
            <wp:posOffset>-28575</wp:posOffset>
          </wp:positionV>
          <wp:extent cx="6041390" cy="1020445"/>
          <wp:effectExtent l="19050" t="0" r="0" b="0"/>
          <wp:wrapSquare wrapText="bothSides"/>
          <wp:docPr id="2" name="Picture 9" descr="SATIE_grap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E_graph_header.png"/>
                  <pic:cNvPicPr/>
                </pic:nvPicPr>
                <pic:blipFill>
                  <a:blip r:embed="rId1"/>
                  <a:stretch>
                    <a:fillRect/>
                  </a:stretch>
                </pic:blipFill>
                <pic:spPr>
                  <a:xfrm>
                    <a:off x="0" y="0"/>
                    <a:ext cx="6041390" cy="1020445"/>
                  </a:xfrm>
                  <a:prstGeom prst="rect">
                    <a:avLst/>
                  </a:prstGeom>
                </pic:spPr>
              </pic:pic>
            </a:graphicData>
          </a:graphic>
        </wp:anchor>
      </w:drawing>
    </w:r>
    <w:r w:rsidR="005D2C13" w:rsidRPr="005D2C13">
      <w:rPr>
        <w:noProof/>
        <w:lang w:val="en-GB" w:eastAsia="en-GB"/>
      </w:rPr>
      <w:drawing>
        <wp:anchor distT="0" distB="0" distL="114300" distR="114300" simplePos="0" relativeHeight="251665920" behindDoc="0" locked="0" layoutInCell="1" allowOverlap="1">
          <wp:simplePos x="0" y="0"/>
          <wp:positionH relativeFrom="margin">
            <wp:align>left</wp:align>
          </wp:positionH>
          <wp:positionV relativeFrom="margin">
            <wp:posOffset>130928</wp:posOffset>
          </wp:positionV>
          <wp:extent cx="1423803" cy="712382"/>
          <wp:effectExtent l="19050" t="0" r="3175" b="0"/>
          <wp:wrapSquare wrapText="bothSides"/>
          <wp:docPr id="3" name="Picture 0" descr="LogoERTIC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TICO_web.gif"/>
                  <pic:cNvPicPr/>
                </pic:nvPicPr>
                <pic:blipFill>
                  <a:blip r:embed="rId2" cstate="print"/>
                  <a:stretch>
                    <a:fillRect/>
                  </a:stretch>
                </pic:blipFill>
                <pic:spPr>
                  <a:xfrm>
                    <a:off x="0" y="0"/>
                    <a:ext cx="1425575" cy="7118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448"/>
    <w:multiLevelType w:val="hybridMultilevel"/>
    <w:tmpl w:val="8F9E1DD4"/>
    <w:lvl w:ilvl="0" w:tplc="6102207A">
      <w:start w:val="1"/>
      <w:numFmt w:val="bullet"/>
      <w:lvlText w:val=""/>
      <w:lvlJc w:val="left"/>
      <w:pPr>
        <w:ind w:left="720" w:hanging="360"/>
      </w:pPr>
      <w:rPr>
        <w:rFonts w:ascii="Symbol" w:hAnsi="Symbol" w:hint="default"/>
        <w:b/>
        <w:i w:val="0"/>
        <w:color w:val="1F497D" w:themeColor="text2"/>
        <w:sz w:val="24"/>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A3013"/>
    <w:multiLevelType w:val="hybridMultilevel"/>
    <w:tmpl w:val="A73048BC"/>
    <w:lvl w:ilvl="0" w:tplc="B9241644">
      <w:start w:val="1"/>
      <w:numFmt w:val="decimal"/>
      <w:lvlText w:val="2.1.%1"/>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3B946DE3"/>
    <w:multiLevelType w:val="hybridMultilevel"/>
    <w:tmpl w:val="FF1EE32E"/>
    <w:lvl w:ilvl="0" w:tplc="6102207A">
      <w:start w:val="1"/>
      <w:numFmt w:val="bullet"/>
      <w:lvlText w:val=""/>
      <w:lvlJc w:val="left"/>
      <w:pPr>
        <w:ind w:left="720" w:hanging="360"/>
      </w:pPr>
      <w:rPr>
        <w:rFonts w:ascii="Symbol" w:hAnsi="Symbol" w:hint="default"/>
        <w:b/>
        <w:i w:val="0"/>
        <w:color w:val="1F497D" w:themeColor="text2"/>
        <w:sz w:val="24"/>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A1903"/>
    <w:multiLevelType w:val="multilevel"/>
    <w:tmpl w:val="080C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A774B98"/>
    <w:multiLevelType w:val="hybridMultilevel"/>
    <w:tmpl w:val="614893C0"/>
    <w:lvl w:ilvl="0" w:tplc="729E75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364515"/>
    <w:multiLevelType w:val="hybridMultilevel"/>
    <w:tmpl w:val="6BF4EF0C"/>
    <w:lvl w:ilvl="0" w:tplc="6102207A">
      <w:start w:val="1"/>
      <w:numFmt w:val="bullet"/>
      <w:lvlText w:val=""/>
      <w:lvlJc w:val="left"/>
      <w:pPr>
        <w:ind w:left="720" w:hanging="360"/>
      </w:pPr>
      <w:rPr>
        <w:rFonts w:ascii="Symbol" w:hAnsi="Symbol" w:hint="default"/>
        <w:b/>
        <w:i w:val="0"/>
        <w:color w:val="1F497D" w:themeColor="text2"/>
        <w:sz w:val="24"/>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6">
      <o:colormenu v:ext="edit" strokecolor="none [3212]"/>
    </o:shapedefaults>
    <o:shapelayout v:ext="edit">
      <o:idmap v:ext="edit" data="2"/>
    </o:shapelayout>
  </w:hdrShapeDefaults>
  <w:footnotePr>
    <w:footnote w:id="-1"/>
    <w:footnote w:id="0"/>
  </w:footnotePr>
  <w:endnotePr>
    <w:endnote w:id="-1"/>
    <w:endnote w:id="0"/>
  </w:endnotePr>
  <w:compat/>
  <w:rsids>
    <w:rsidRoot w:val="00A8102E"/>
    <w:rsid w:val="000256B1"/>
    <w:rsid w:val="00031849"/>
    <w:rsid w:val="000807C8"/>
    <w:rsid w:val="00080CC4"/>
    <w:rsid w:val="000B658F"/>
    <w:rsid w:val="000B664B"/>
    <w:rsid w:val="000C1F2B"/>
    <w:rsid w:val="000C2C68"/>
    <w:rsid w:val="000C62B5"/>
    <w:rsid w:val="000D16DD"/>
    <w:rsid w:val="000F194F"/>
    <w:rsid w:val="000F31FC"/>
    <w:rsid w:val="00122F1E"/>
    <w:rsid w:val="00126BFF"/>
    <w:rsid w:val="0015127E"/>
    <w:rsid w:val="00151CD7"/>
    <w:rsid w:val="00160773"/>
    <w:rsid w:val="0017155E"/>
    <w:rsid w:val="001A2097"/>
    <w:rsid w:val="001B0F06"/>
    <w:rsid w:val="001B105F"/>
    <w:rsid w:val="001C0396"/>
    <w:rsid w:val="001C379D"/>
    <w:rsid w:val="001D1285"/>
    <w:rsid w:val="001E79B6"/>
    <w:rsid w:val="0022293A"/>
    <w:rsid w:val="00236517"/>
    <w:rsid w:val="00245858"/>
    <w:rsid w:val="00262527"/>
    <w:rsid w:val="00267247"/>
    <w:rsid w:val="002A3BA5"/>
    <w:rsid w:val="002B7D7D"/>
    <w:rsid w:val="002C1D2D"/>
    <w:rsid w:val="002E3B74"/>
    <w:rsid w:val="002E5B97"/>
    <w:rsid w:val="00313776"/>
    <w:rsid w:val="0032163D"/>
    <w:rsid w:val="00343519"/>
    <w:rsid w:val="003747EE"/>
    <w:rsid w:val="003E014E"/>
    <w:rsid w:val="003E6C56"/>
    <w:rsid w:val="00414D5A"/>
    <w:rsid w:val="00444B0E"/>
    <w:rsid w:val="00462354"/>
    <w:rsid w:val="00480913"/>
    <w:rsid w:val="004835BC"/>
    <w:rsid w:val="004B26F2"/>
    <w:rsid w:val="004B5AF1"/>
    <w:rsid w:val="004C55C7"/>
    <w:rsid w:val="004E32EA"/>
    <w:rsid w:val="0052354A"/>
    <w:rsid w:val="00574FFE"/>
    <w:rsid w:val="005A0F93"/>
    <w:rsid w:val="005C320F"/>
    <w:rsid w:val="005C6B5F"/>
    <w:rsid w:val="005D2C13"/>
    <w:rsid w:val="005E55E5"/>
    <w:rsid w:val="005E5FB5"/>
    <w:rsid w:val="00603F03"/>
    <w:rsid w:val="00604F32"/>
    <w:rsid w:val="0063190F"/>
    <w:rsid w:val="006327A9"/>
    <w:rsid w:val="0063354E"/>
    <w:rsid w:val="00643F40"/>
    <w:rsid w:val="00665DA5"/>
    <w:rsid w:val="006B1092"/>
    <w:rsid w:val="006B51C1"/>
    <w:rsid w:val="006B75AF"/>
    <w:rsid w:val="006C238C"/>
    <w:rsid w:val="006D61B6"/>
    <w:rsid w:val="006E335E"/>
    <w:rsid w:val="0070266F"/>
    <w:rsid w:val="007049D4"/>
    <w:rsid w:val="00720B76"/>
    <w:rsid w:val="00741DEF"/>
    <w:rsid w:val="00742EE4"/>
    <w:rsid w:val="007533CA"/>
    <w:rsid w:val="007901B7"/>
    <w:rsid w:val="0079116D"/>
    <w:rsid w:val="00793CE4"/>
    <w:rsid w:val="007A7F82"/>
    <w:rsid w:val="008148A3"/>
    <w:rsid w:val="00823ABC"/>
    <w:rsid w:val="0083007D"/>
    <w:rsid w:val="00862661"/>
    <w:rsid w:val="0086624E"/>
    <w:rsid w:val="008A1CF9"/>
    <w:rsid w:val="008A2843"/>
    <w:rsid w:val="008B1DAF"/>
    <w:rsid w:val="008B2AD4"/>
    <w:rsid w:val="008B74CD"/>
    <w:rsid w:val="008E3638"/>
    <w:rsid w:val="008F6030"/>
    <w:rsid w:val="0092285A"/>
    <w:rsid w:val="00941AB0"/>
    <w:rsid w:val="009473F5"/>
    <w:rsid w:val="00975702"/>
    <w:rsid w:val="00977095"/>
    <w:rsid w:val="00982558"/>
    <w:rsid w:val="00986728"/>
    <w:rsid w:val="0099138B"/>
    <w:rsid w:val="00996AB5"/>
    <w:rsid w:val="009A71CD"/>
    <w:rsid w:val="009C0221"/>
    <w:rsid w:val="00A0194F"/>
    <w:rsid w:val="00A17B5A"/>
    <w:rsid w:val="00A3761E"/>
    <w:rsid w:val="00A45741"/>
    <w:rsid w:val="00A47870"/>
    <w:rsid w:val="00A8102E"/>
    <w:rsid w:val="00A9786E"/>
    <w:rsid w:val="00AC4B26"/>
    <w:rsid w:val="00AD26A9"/>
    <w:rsid w:val="00AF34AE"/>
    <w:rsid w:val="00B82D87"/>
    <w:rsid w:val="00BB05EF"/>
    <w:rsid w:val="00BC028B"/>
    <w:rsid w:val="00BE1E53"/>
    <w:rsid w:val="00BE38C0"/>
    <w:rsid w:val="00C0028A"/>
    <w:rsid w:val="00C01D86"/>
    <w:rsid w:val="00C048C5"/>
    <w:rsid w:val="00C109A1"/>
    <w:rsid w:val="00C134C4"/>
    <w:rsid w:val="00C20BFE"/>
    <w:rsid w:val="00C26879"/>
    <w:rsid w:val="00C340AF"/>
    <w:rsid w:val="00C35246"/>
    <w:rsid w:val="00C468CC"/>
    <w:rsid w:val="00C70B44"/>
    <w:rsid w:val="00C86446"/>
    <w:rsid w:val="00C91E9B"/>
    <w:rsid w:val="00CA1111"/>
    <w:rsid w:val="00CB6FCB"/>
    <w:rsid w:val="00D26A78"/>
    <w:rsid w:val="00D30446"/>
    <w:rsid w:val="00D55B47"/>
    <w:rsid w:val="00D576A5"/>
    <w:rsid w:val="00DC5EA4"/>
    <w:rsid w:val="00DE1C95"/>
    <w:rsid w:val="00DF7452"/>
    <w:rsid w:val="00E15D8A"/>
    <w:rsid w:val="00E17FD4"/>
    <w:rsid w:val="00E2508E"/>
    <w:rsid w:val="00E5641B"/>
    <w:rsid w:val="00E72200"/>
    <w:rsid w:val="00EC042E"/>
    <w:rsid w:val="00EC38B8"/>
    <w:rsid w:val="00EE65CB"/>
    <w:rsid w:val="00F40380"/>
    <w:rsid w:val="00F531F5"/>
    <w:rsid w:val="00F615C4"/>
    <w:rsid w:val="00F81B0C"/>
    <w:rsid w:val="00F84EC0"/>
    <w:rsid w:val="00F930AE"/>
    <w:rsid w:val="00FC463D"/>
    <w:rsid w:val="00FC5E9E"/>
    <w:rsid w:val="00FD140E"/>
    <w:rsid w:val="00FE292E"/>
    <w:rsid w:val="00FF6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2B"/>
    <w:pPr>
      <w:spacing w:after="120" w:line="360" w:lineRule="auto"/>
      <w:jc w:val="both"/>
    </w:pPr>
    <w:rPr>
      <w:rFonts w:ascii="Arial" w:hAnsi="Arial" w:cs="Arial"/>
      <w:color w:val="003300"/>
      <w:sz w:val="20"/>
      <w:lang w:val="fr-BE"/>
    </w:rPr>
  </w:style>
  <w:style w:type="paragraph" w:styleId="Heading1">
    <w:name w:val="heading 1"/>
    <w:basedOn w:val="Normal"/>
    <w:next w:val="Normal"/>
    <w:link w:val="Heading1Char"/>
    <w:uiPriority w:val="9"/>
    <w:qFormat/>
    <w:rsid w:val="00574FFE"/>
    <w:pPr>
      <w:spacing w:after="360" w:line="276" w:lineRule="auto"/>
      <w:outlineLvl w:val="0"/>
    </w:pPr>
    <w:rPr>
      <w:sz w:val="40"/>
      <w:szCs w:val="40"/>
      <w:lang w:val="en-GB"/>
    </w:rPr>
  </w:style>
  <w:style w:type="paragraph" w:styleId="Heading2">
    <w:name w:val="heading 2"/>
    <w:basedOn w:val="Normal"/>
    <w:next w:val="Normal"/>
    <w:link w:val="Heading2Char"/>
    <w:uiPriority w:val="9"/>
    <w:unhideWhenUsed/>
    <w:qFormat/>
    <w:rsid w:val="00C91E9B"/>
    <w:pPr>
      <w:keepNext/>
      <w:keepLines/>
      <w:numPr>
        <w:ilvl w:val="1"/>
        <w:numId w:val="2"/>
      </w:numPr>
      <w:spacing w:before="200" w:after="24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F34AE"/>
    <w:pPr>
      <w:keepNext/>
      <w:keepLines/>
      <w:numPr>
        <w:ilvl w:val="2"/>
        <w:numId w:val="2"/>
      </w:numPr>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semiHidden/>
    <w:unhideWhenUsed/>
    <w:qFormat/>
    <w:rsid w:val="00C134C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34C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34C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34C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34C4"/>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134C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02E"/>
  </w:style>
  <w:style w:type="paragraph" w:styleId="Footer">
    <w:name w:val="footer"/>
    <w:basedOn w:val="Normal"/>
    <w:link w:val="FooterChar"/>
    <w:uiPriority w:val="99"/>
    <w:unhideWhenUsed/>
    <w:rsid w:val="00A8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02E"/>
  </w:style>
  <w:style w:type="paragraph" w:styleId="BalloonText">
    <w:name w:val="Balloon Text"/>
    <w:basedOn w:val="Normal"/>
    <w:link w:val="BalloonTextChar"/>
    <w:uiPriority w:val="99"/>
    <w:semiHidden/>
    <w:unhideWhenUsed/>
    <w:rsid w:val="00A8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2E"/>
    <w:rPr>
      <w:rFonts w:ascii="Tahoma" w:hAnsi="Tahoma" w:cs="Tahoma"/>
      <w:sz w:val="16"/>
      <w:szCs w:val="16"/>
    </w:rPr>
  </w:style>
  <w:style w:type="paragraph" w:styleId="NoSpacing">
    <w:name w:val="No Spacing"/>
    <w:link w:val="NoSpacingChar"/>
    <w:uiPriority w:val="1"/>
    <w:qFormat/>
    <w:rsid w:val="008A1CF9"/>
    <w:pPr>
      <w:spacing w:after="0" w:line="240" w:lineRule="auto"/>
    </w:pPr>
    <w:rPr>
      <w:rFonts w:eastAsiaTheme="minorEastAsia"/>
    </w:rPr>
  </w:style>
  <w:style w:type="character" w:customStyle="1" w:styleId="NoSpacingChar">
    <w:name w:val="No Spacing Char"/>
    <w:basedOn w:val="DefaultParagraphFont"/>
    <w:link w:val="NoSpacing"/>
    <w:uiPriority w:val="1"/>
    <w:rsid w:val="008A1CF9"/>
    <w:rPr>
      <w:rFonts w:eastAsiaTheme="minorEastAsia"/>
    </w:rPr>
  </w:style>
  <w:style w:type="character" w:customStyle="1" w:styleId="Heading1Char">
    <w:name w:val="Heading 1 Char"/>
    <w:basedOn w:val="DefaultParagraphFont"/>
    <w:link w:val="Heading1"/>
    <w:uiPriority w:val="9"/>
    <w:rsid w:val="00574FFE"/>
    <w:rPr>
      <w:rFonts w:ascii="Arial" w:hAnsi="Arial" w:cs="Arial"/>
      <w:color w:val="003300"/>
      <w:sz w:val="40"/>
      <w:szCs w:val="40"/>
      <w:lang w:val="en-GB"/>
    </w:rPr>
  </w:style>
  <w:style w:type="paragraph" w:styleId="TOCHeading">
    <w:name w:val="TOC Heading"/>
    <w:basedOn w:val="Heading1"/>
    <w:next w:val="Normal"/>
    <w:uiPriority w:val="39"/>
    <w:unhideWhenUsed/>
    <w:qFormat/>
    <w:rsid w:val="00BC028B"/>
    <w:pPr>
      <w:jc w:val="center"/>
      <w:outlineLvl w:val="9"/>
    </w:pPr>
  </w:style>
  <w:style w:type="paragraph" w:styleId="TOC2">
    <w:name w:val="toc 2"/>
    <w:basedOn w:val="Normal"/>
    <w:next w:val="Normal"/>
    <w:autoRedefine/>
    <w:uiPriority w:val="39"/>
    <w:semiHidden/>
    <w:unhideWhenUsed/>
    <w:qFormat/>
    <w:rsid w:val="00E2508E"/>
    <w:pPr>
      <w:spacing w:after="100"/>
      <w:ind w:left="220"/>
    </w:pPr>
    <w:rPr>
      <w:rFonts w:eastAsiaTheme="minorEastAsia"/>
    </w:rPr>
  </w:style>
  <w:style w:type="paragraph" w:styleId="TOC1">
    <w:name w:val="toc 1"/>
    <w:basedOn w:val="Normal"/>
    <w:next w:val="Normal"/>
    <w:autoRedefine/>
    <w:uiPriority w:val="39"/>
    <w:semiHidden/>
    <w:unhideWhenUsed/>
    <w:qFormat/>
    <w:rsid w:val="00E2508E"/>
    <w:pPr>
      <w:spacing w:after="100"/>
    </w:pPr>
    <w:rPr>
      <w:rFonts w:eastAsiaTheme="minorEastAsia"/>
    </w:rPr>
  </w:style>
  <w:style w:type="paragraph" w:styleId="TOC3">
    <w:name w:val="toc 3"/>
    <w:basedOn w:val="Normal"/>
    <w:next w:val="Normal"/>
    <w:autoRedefine/>
    <w:uiPriority w:val="39"/>
    <w:semiHidden/>
    <w:unhideWhenUsed/>
    <w:qFormat/>
    <w:rsid w:val="00E2508E"/>
    <w:pPr>
      <w:spacing w:after="100"/>
      <w:ind w:left="440"/>
    </w:pPr>
    <w:rPr>
      <w:rFonts w:eastAsiaTheme="minorEastAsia"/>
    </w:rPr>
  </w:style>
  <w:style w:type="table" w:styleId="TableGrid">
    <w:name w:val="Table Grid"/>
    <w:basedOn w:val="TableNormal"/>
    <w:uiPriority w:val="59"/>
    <w:rsid w:val="00742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quote">
    <w:name w:val="EC quote"/>
    <w:basedOn w:val="Normal"/>
    <w:link w:val="ECquoteChar"/>
    <w:qFormat/>
    <w:rsid w:val="00126BFF"/>
    <w:pPr>
      <w:spacing w:after="0" w:line="240" w:lineRule="auto"/>
    </w:pPr>
    <w:rPr>
      <w:rFonts w:eastAsiaTheme="majorEastAsia"/>
      <w:color w:val="365F91" w:themeColor="accent1" w:themeShade="BF"/>
      <w:szCs w:val="20"/>
    </w:rPr>
  </w:style>
  <w:style w:type="paragraph" w:customStyle="1" w:styleId="Docreferences">
    <w:name w:val="Doc references"/>
    <w:basedOn w:val="Normal"/>
    <w:qFormat/>
    <w:rsid w:val="00126BFF"/>
    <w:pPr>
      <w:framePr w:hSpace="180" w:wrap="around" w:vAnchor="text" w:hAnchor="margin" w:xAlign="right" w:y="4488"/>
      <w:spacing w:after="0" w:line="240" w:lineRule="auto"/>
      <w:ind w:left="98" w:hanging="14"/>
    </w:pPr>
    <w:rPr>
      <w:rFonts w:asciiTheme="majorHAnsi" w:eastAsiaTheme="majorEastAsia" w:hAnsiTheme="majorHAnsi" w:cstheme="majorBidi"/>
      <w:color w:val="365F91" w:themeColor="accent1" w:themeShade="BF"/>
      <w:sz w:val="34"/>
      <w:szCs w:val="34"/>
    </w:rPr>
  </w:style>
  <w:style w:type="character" w:customStyle="1" w:styleId="ECquoteChar">
    <w:name w:val="EC quote Char"/>
    <w:basedOn w:val="DefaultParagraphFont"/>
    <w:link w:val="ECquote"/>
    <w:rsid w:val="00126BFF"/>
    <w:rPr>
      <w:rFonts w:ascii="Arial" w:eastAsiaTheme="majorEastAsia" w:hAnsi="Arial" w:cs="Arial"/>
      <w:color w:val="365F91" w:themeColor="accent1" w:themeShade="BF"/>
      <w:sz w:val="20"/>
      <w:szCs w:val="20"/>
    </w:rPr>
  </w:style>
  <w:style w:type="character" w:customStyle="1" w:styleId="Heading2Char">
    <w:name w:val="Heading 2 Char"/>
    <w:basedOn w:val="DefaultParagraphFont"/>
    <w:link w:val="Heading2"/>
    <w:uiPriority w:val="9"/>
    <w:rsid w:val="00C91E9B"/>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AF34AE"/>
    <w:rPr>
      <w:rFonts w:ascii="Arial" w:eastAsiaTheme="majorEastAsia" w:hAnsi="Arial" w:cs="Arial"/>
      <w:b/>
      <w:bCs/>
      <w:color w:val="4F81BD" w:themeColor="accent1"/>
    </w:rPr>
  </w:style>
  <w:style w:type="table" w:customStyle="1" w:styleId="LightShading-Accent11">
    <w:name w:val="Light Shading - Accent 11"/>
    <w:basedOn w:val="TableNormal"/>
    <w:uiPriority w:val="60"/>
    <w:rsid w:val="006D61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34AE"/>
    <w:pPr>
      <w:ind w:left="720"/>
      <w:contextualSpacing/>
    </w:pPr>
  </w:style>
  <w:style w:type="paragraph" w:styleId="Subtitle">
    <w:name w:val="Subtitle"/>
    <w:basedOn w:val="Normal"/>
    <w:next w:val="Normal"/>
    <w:link w:val="SubtitleChar"/>
    <w:uiPriority w:val="11"/>
    <w:qFormat/>
    <w:rsid w:val="00975702"/>
    <w:pPr>
      <w:numPr>
        <w:ilvl w:val="1"/>
      </w:numPr>
      <w:spacing w:before="240"/>
      <w:jc w:val="center"/>
    </w:pPr>
    <w:rPr>
      <w:rFonts w:asciiTheme="majorHAnsi" w:eastAsiaTheme="majorEastAsia" w:hAnsiTheme="majorHAnsi" w:cstheme="majorBidi"/>
      <w:b/>
      <w:i/>
      <w:iCs/>
      <w:color w:val="4F81BD" w:themeColor="accent1"/>
      <w:spacing w:val="15"/>
      <w:sz w:val="24"/>
      <w:szCs w:val="24"/>
    </w:rPr>
  </w:style>
  <w:style w:type="character" w:customStyle="1" w:styleId="SubtitleChar">
    <w:name w:val="Subtitle Char"/>
    <w:basedOn w:val="DefaultParagraphFont"/>
    <w:link w:val="Subtitle"/>
    <w:uiPriority w:val="11"/>
    <w:rsid w:val="00975702"/>
    <w:rPr>
      <w:rFonts w:asciiTheme="majorHAnsi" w:eastAsiaTheme="majorEastAsia" w:hAnsiTheme="majorHAnsi" w:cstheme="majorBidi"/>
      <w:b/>
      <w:i/>
      <w:iCs/>
      <w:color w:val="4F81BD" w:themeColor="accent1"/>
      <w:spacing w:val="15"/>
      <w:sz w:val="24"/>
      <w:szCs w:val="24"/>
    </w:rPr>
  </w:style>
  <w:style w:type="table" w:customStyle="1" w:styleId="LightGrid-Accent11">
    <w:name w:val="Light Grid - Accent 11"/>
    <w:basedOn w:val="TableNormal"/>
    <w:uiPriority w:val="62"/>
    <w:rsid w:val="00C35246"/>
    <w:pPr>
      <w:spacing w:after="0" w:line="240" w:lineRule="auto"/>
    </w:pPr>
    <w:rPr>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2B7D7D"/>
    <w:pPr>
      <w:spacing w:after="0" w:line="240" w:lineRule="auto"/>
    </w:pPr>
    <w:rPr>
      <w:szCs w:val="20"/>
    </w:rPr>
  </w:style>
  <w:style w:type="character" w:customStyle="1" w:styleId="FootnoteTextChar">
    <w:name w:val="Footnote Text Char"/>
    <w:basedOn w:val="DefaultParagraphFont"/>
    <w:link w:val="FootnoteText"/>
    <w:uiPriority w:val="99"/>
    <w:semiHidden/>
    <w:rsid w:val="002B7D7D"/>
    <w:rPr>
      <w:rFonts w:ascii="Arial" w:hAnsi="Arial"/>
      <w:sz w:val="20"/>
      <w:szCs w:val="20"/>
    </w:rPr>
  </w:style>
  <w:style w:type="character" w:styleId="FootnoteReference">
    <w:name w:val="footnote reference"/>
    <w:basedOn w:val="DefaultParagraphFont"/>
    <w:uiPriority w:val="99"/>
    <w:semiHidden/>
    <w:unhideWhenUsed/>
    <w:rsid w:val="002B7D7D"/>
    <w:rPr>
      <w:vertAlign w:val="superscript"/>
    </w:rPr>
  </w:style>
  <w:style w:type="character" w:styleId="Hyperlink">
    <w:name w:val="Hyperlink"/>
    <w:basedOn w:val="DefaultParagraphFont"/>
    <w:uiPriority w:val="99"/>
    <w:unhideWhenUsed/>
    <w:rsid w:val="002B7D7D"/>
    <w:rPr>
      <w:color w:val="0000FF" w:themeColor="hyperlink"/>
      <w:u w:val="single"/>
    </w:rPr>
  </w:style>
  <w:style w:type="character" w:customStyle="1" w:styleId="Heading4Char">
    <w:name w:val="Heading 4 Char"/>
    <w:basedOn w:val="DefaultParagraphFont"/>
    <w:link w:val="Heading4"/>
    <w:uiPriority w:val="9"/>
    <w:semiHidden/>
    <w:rsid w:val="00C134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34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34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34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34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34C4"/>
    <w:rPr>
      <w:rFonts w:asciiTheme="majorHAnsi" w:eastAsiaTheme="majorEastAsia" w:hAnsiTheme="majorHAnsi" w:cstheme="majorBidi"/>
      <w:i/>
      <w:iCs/>
      <w:color w:val="404040" w:themeColor="text1" w:themeTint="BF"/>
      <w:sz w:val="20"/>
      <w:szCs w:val="20"/>
    </w:rPr>
  </w:style>
  <w:style w:type="paragraph" w:customStyle="1" w:styleId="Table">
    <w:name w:val="Table"/>
    <w:basedOn w:val="Normal"/>
    <w:link w:val="TableChar"/>
    <w:qFormat/>
    <w:rsid w:val="00A3761E"/>
    <w:pPr>
      <w:spacing w:after="0" w:line="240" w:lineRule="auto"/>
      <w:jc w:val="center"/>
    </w:pPr>
    <w:rPr>
      <w:rFonts w:eastAsiaTheme="majorEastAsia"/>
      <w:color w:val="365F91" w:themeColor="accent1" w:themeShade="BF"/>
      <w:szCs w:val="20"/>
      <w:lang w:val="en-GB"/>
    </w:rPr>
  </w:style>
  <w:style w:type="character" w:customStyle="1" w:styleId="TableChar">
    <w:name w:val="Table Char"/>
    <w:basedOn w:val="DefaultParagraphFont"/>
    <w:link w:val="Table"/>
    <w:rsid w:val="00A3761E"/>
    <w:rPr>
      <w:rFonts w:ascii="Arial" w:eastAsiaTheme="majorEastAsia" w:hAnsi="Arial" w:cs="Arial"/>
      <w:color w:val="365F91" w:themeColor="accent1" w:themeShade="BF"/>
      <w:sz w:val="20"/>
      <w:szCs w:val="20"/>
      <w:lang w:val="en-GB"/>
    </w:rPr>
  </w:style>
  <w:style w:type="paragraph" w:styleId="Title">
    <w:name w:val="Title"/>
    <w:basedOn w:val="Normal"/>
    <w:next w:val="Normal"/>
    <w:link w:val="TitleChar"/>
    <w:uiPriority w:val="10"/>
    <w:qFormat/>
    <w:rsid w:val="00753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3CA"/>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0256B1"/>
    <w:pPr>
      <w:spacing w:after="0" w:line="240" w:lineRule="auto"/>
    </w:pPr>
    <w:rPr>
      <w:szCs w:val="20"/>
    </w:rPr>
  </w:style>
  <w:style w:type="character" w:customStyle="1" w:styleId="EndnoteTextChar">
    <w:name w:val="Endnote Text Char"/>
    <w:basedOn w:val="DefaultParagraphFont"/>
    <w:link w:val="EndnoteText"/>
    <w:uiPriority w:val="99"/>
    <w:semiHidden/>
    <w:rsid w:val="000256B1"/>
    <w:rPr>
      <w:rFonts w:ascii="Arial" w:hAnsi="Arial" w:cs="Arial"/>
      <w:color w:val="003300"/>
      <w:sz w:val="20"/>
      <w:szCs w:val="20"/>
      <w:lang w:val="fr-BE"/>
    </w:rPr>
  </w:style>
  <w:style w:type="character" w:styleId="EndnoteReference">
    <w:name w:val="endnote reference"/>
    <w:basedOn w:val="DefaultParagraphFont"/>
    <w:uiPriority w:val="99"/>
    <w:semiHidden/>
    <w:unhideWhenUsed/>
    <w:rsid w:val="000256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I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information_society/activities/esafety/doc/library/elsa_report.pdf" TargetMode="Externa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icarsupport.eu/esafety-forum/esafety-forum-tf-elsa/?menu=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85CD-334A-4418-ADEB-195CED94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 _ Name of the deliverable</vt:lpstr>
    </vt:vector>
  </TitlesOfParts>
  <Company>SATIE</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_ Name of the deliverable</dc:title>
  <dc:creator>Stephanie Murray</dc:creator>
  <cp:lastModifiedBy>Sébastien Mure</cp:lastModifiedBy>
  <cp:revision>8</cp:revision>
  <cp:lastPrinted>2011-09-19T13:20:00Z</cp:lastPrinted>
  <dcterms:created xsi:type="dcterms:W3CDTF">2011-09-19T15:12:00Z</dcterms:created>
  <dcterms:modified xsi:type="dcterms:W3CDTF">2011-09-19T15:39:00Z</dcterms:modified>
</cp:coreProperties>
</file>