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E1C" w:rsidRDefault="001F3E1C" w:rsidP="001F3E1C">
      <w:pPr>
        <w:spacing w:after="0" w:line="240" w:lineRule="auto"/>
        <w:rPr>
          <w:rFonts w:ascii="Times New Roman" w:hAnsi="Times New Roman" w:cs="Times New Roman"/>
          <w:b/>
          <w:lang w:val="en-US"/>
        </w:rPr>
      </w:pPr>
      <w:r w:rsidRPr="00A869BB">
        <w:rPr>
          <w:rFonts w:ascii="Times New Roman" w:hAnsi="Times New Roman" w:cs="Times New Roman"/>
          <w:b/>
          <w:lang w:val="en-US"/>
        </w:rPr>
        <w:t>Final publishable summary report</w:t>
      </w:r>
    </w:p>
    <w:p w:rsidR="001F3E1C" w:rsidRPr="00A869BB" w:rsidRDefault="001F3E1C" w:rsidP="001F3E1C">
      <w:pPr>
        <w:spacing w:after="0" w:line="240" w:lineRule="auto"/>
        <w:rPr>
          <w:rFonts w:ascii="Times New Roman" w:hAnsi="Times New Roman" w:cs="Times New Roman"/>
          <w:b/>
          <w:lang w:val="en-US"/>
        </w:rPr>
      </w:pPr>
    </w:p>
    <w:p w:rsidR="001F3E1C" w:rsidRPr="00A869BB" w:rsidRDefault="001F3E1C" w:rsidP="001F3E1C">
      <w:pPr>
        <w:spacing w:after="0" w:line="240" w:lineRule="auto"/>
        <w:ind w:firstLine="540"/>
        <w:jc w:val="both"/>
        <w:rPr>
          <w:rFonts w:ascii="Times New Roman" w:hAnsi="Times New Roman" w:cs="Times New Roman"/>
          <w:lang w:val="en-US"/>
        </w:rPr>
      </w:pPr>
      <w:r w:rsidRPr="00A869BB">
        <w:rPr>
          <w:rFonts w:ascii="Times New Roman" w:hAnsi="Times New Roman" w:cs="Times New Roman"/>
          <w:lang w:val="en-US"/>
        </w:rPr>
        <w:t>It is well known that migration brings about profound changes in people’s lives, which can lead to stress. The process of adapting to the host society and to organize their lives in this new context is generally referred to as acculturation. While many antecedents of and influences on this process have been studied, most research relies on an individual’s self-reported account of what has led to higher or lower well-being.</w:t>
      </w:r>
    </w:p>
    <w:p w:rsidR="001F3E1C" w:rsidRPr="00A869BB" w:rsidRDefault="001F3E1C" w:rsidP="001F3E1C">
      <w:pPr>
        <w:spacing w:after="0" w:line="240" w:lineRule="auto"/>
        <w:ind w:firstLine="540"/>
        <w:jc w:val="both"/>
        <w:rPr>
          <w:rFonts w:ascii="Times New Roman" w:hAnsi="Times New Roman" w:cs="Times New Roman"/>
          <w:lang w:val="en-US"/>
        </w:rPr>
      </w:pPr>
      <w:r w:rsidRPr="00A869BB">
        <w:rPr>
          <w:rFonts w:ascii="Times New Roman" w:hAnsi="Times New Roman" w:cs="Times New Roman"/>
          <w:lang w:val="en-US"/>
        </w:rPr>
        <w:t xml:space="preserve">This Marie Curie project set out to add a further dimension to the investigation of immigrants’ well-being: research from the intersection of motivational and cross-cultural psychology has revealed that people all over the world become unhappy or even depressed when their explicit goals are incongruent with their implicit needs (Baumann, </w:t>
      </w:r>
      <w:proofErr w:type="spellStart"/>
      <w:r w:rsidRPr="00A869BB">
        <w:rPr>
          <w:rFonts w:ascii="Times New Roman" w:hAnsi="Times New Roman" w:cs="Times New Roman"/>
          <w:lang w:val="en-US"/>
        </w:rPr>
        <w:t>Kaschel</w:t>
      </w:r>
      <w:proofErr w:type="spellEnd"/>
      <w:r w:rsidRPr="00A869BB">
        <w:rPr>
          <w:rFonts w:ascii="Times New Roman" w:hAnsi="Times New Roman" w:cs="Times New Roman"/>
          <w:lang w:val="en-US"/>
        </w:rPr>
        <w:t xml:space="preserve"> &amp; </w:t>
      </w:r>
      <w:proofErr w:type="spellStart"/>
      <w:r w:rsidRPr="00A869BB">
        <w:rPr>
          <w:rFonts w:ascii="Times New Roman" w:hAnsi="Times New Roman" w:cs="Times New Roman"/>
          <w:lang w:val="en-US"/>
        </w:rPr>
        <w:t>Kuhl</w:t>
      </w:r>
      <w:proofErr w:type="spellEnd"/>
      <w:r w:rsidRPr="00A869BB">
        <w:rPr>
          <w:rFonts w:ascii="Times New Roman" w:hAnsi="Times New Roman" w:cs="Times New Roman"/>
          <w:lang w:val="en-US"/>
        </w:rPr>
        <w:t>, 2005; Hofer &amp;Chasiotis, 2003; Hofer, Chasiotis&amp; Campos, 2006). If an individual’s implicit motivation is at odds with consciously desired, explicit goals, this tension is experienced as emotional distress (</w:t>
      </w:r>
      <w:proofErr w:type="gramStart"/>
      <w:r w:rsidRPr="00A869BB">
        <w:rPr>
          <w:rFonts w:ascii="Times New Roman" w:hAnsi="Times New Roman" w:cs="Times New Roman"/>
          <w:lang w:val="en-US"/>
        </w:rPr>
        <w:t>Winter</w:t>
      </w:r>
      <w:proofErr w:type="gramEnd"/>
      <w:r w:rsidRPr="00A869BB">
        <w:rPr>
          <w:rFonts w:ascii="Times New Roman" w:hAnsi="Times New Roman" w:cs="Times New Roman"/>
          <w:lang w:val="en-US"/>
        </w:rPr>
        <w:t xml:space="preserve">, 1996). </w:t>
      </w:r>
    </w:p>
    <w:p w:rsidR="001F3E1C" w:rsidRPr="00A869BB" w:rsidRDefault="001F3E1C" w:rsidP="001F3E1C">
      <w:pPr>
        <w:spacing w:after="0" w:line="240" w:lineRule="auto"/>
        <w:ind w:firstLine="540"/>
        <w:jc w:val="both"/>
        <w:rPr>
          <w:rFonts w:ascii="Times New Roman" w:hAnsi="Times New Roman" w:cs="Times New Roman"/>
          <w:lang w:val="en-US"/>
        </w:rPr>
      </w:pPr>
      <w:r w:rsidRPr="00A869BB">
        <w:rPr>
          <w:rFonts w:ascii="Times New Roman" w:hAnsi="Times New Roman" w:cs="Times New Roman"/>
          <w:lang w:val="en-US"/>
        </w:rPr>
        <w:t>This link is particularly important during stressful life events typical for immigrants, like relocation and loss of social contacts. For example, immigrants who self-reportedly seek assimilation into the host culture, but still feel unhappy and homesick, may experience a discrepancy between explicit motives and their strong, implicit attachment to their culture of origin (Sam, 2006). We have therefore suggested that a simultaneous assessment of implicit motives and explicit goals is necessary for a more comprehensive understanding of migrants’ psychological outcomes.</w:t>
      </w:r>
    </w:p>
    <w:p w:rsidR="001F3E1C" w:rsidRPr="00A869BB" w:rsidRDefault="001F3E1C" w:rsidP="001F3E1C">
      <w:pPr>
        <w:spacing w:after="0" w:line="240" w:lineRule="auto"/>
        <w:ind w:firstLine="540"/>
        <w:jc w:val="both"/>
        <w:rPr>
          <w:rFonts w:ascii="Times New Roman" w:hAnsi="Times New Roman" w:cs="Times New Roman"/>
          <w:lang w:val="en-US"/>
        </w:rPr>
      </w:pPr>
      <w:r w:rsidRPr="00A869BB">
        <w:rPr>
          <w:rFonts w:ascii="Times New Roman" w:hAnsi="Times New Roman" w:cs="Times New Roman"/>
          <w:lang w:val="en-US"/>
        </w:rPr>
        <w:t>To complement the focus on motivation and acculturation orientation we furthermore set out to also investigate the role of identity (Marcia, 1980) as a determinant of well-being. It has been shown that motive congruence is not only related to well-being, but also to the identity status of an individual (Hofer, Busch, Chasiotis, &amp;</w:t>
      </w:r>
      <w:proofErr w:type="spellStart"/>
      <w:r w:rsidRPr="00A869BB">
        <w:rPr>
          <w:rFonts w:ascii="Times New Roman" w:hAnsi="Times New Roman" w:cs="Times New Roman"/>
          <w:lang w:val="en-US"/>
        </w:rPr>
        <w:t>Kiessling</w:t>
      </w:r>
      <w:proofErr w:type="spellEnd"/>
      <w:r w:rsidRPr="00A869BB">
        <w:rPr>
          <w:rFonts w:ascii="Times New Roman" w:hAnsi="Times New Roman" w:cs="Times New Roman"/>
          <w:lang w:val="en-US"/>
        </w:rPr>
        <w:t>, 2006), and that ethnic identity, in turn, is also related to well-being (</w:t>
      </w:r>
      <w:proofErr w:type="spellStart"/>
      <w:r w:rsidRPr="00A869BB">
        <w:rPr>
          <w:rFonts w:ascii="Times New Roman" w:hAnsi="Times New Roman" w:cs="Times New Roman"/>
          <w:lang w:val="en-US"/>
        </w:rPr>
        <w:t>Liebkind</w:t>
      </w:r>
      <w:proofErr w:type="spellEnd"/>
      <w:r w:rsidRPr="00A869BB">
        <w:rPr>
          <w:rFonts w:ascii="Times New Roman" w:hAnsi="Times New Roman" w:cs="Times New Roman"/>
          <w:lang w:val="en-US"/>
        </w:rPr>
        <w:t xml:space="preserve">, 2006). Furthermore, identity formation and acculturation orientation share conceptual similarities in so far as both are concerned with negotiate between an exploration into the non-parental host culture and a commitment or maintenance of the parental culture. We suggest that an alignment between both (e.g., actively maintaining one’s culture of origin and taking over parental views of one’s identity) are more beneficial for experiences of well-being than mismatching constellations (e.g., taking over views from one’s parents while at the same time actively exploring the host society). </w:t>
      </w:r>
    </w:p>
    <w:p w:rsidR="001F3E1C" w:rsidRPr="00A869BB" w:rsidRDefault="001F3E1C" w:rsidP="001F3E1C">
      <w:pPr>
        <w:spacing w:after="0" w:line="240" w:lineRule="auto"/>
        <w:ind w:firstLine="540"/>
        <w:jc w:val="both"/>
        <w:rPr>
          <w:rFonts w:ascii="Times New Roman" w:hAnsi="Times New Roman" w:cs="Times New Roman"/>
          <w:lang w:val="en-US"/>
        </w:rPr>
      </w:pPr>
      <w:r w:rsidRPr="00A869BB">
        <w:rPr>
          <w:rFonts w:ascii="Times New Roman" w:hAnsi="Times New Roman" w:cs="Times New Roman"/>
          <w:lang w:val="en-US"/>
        </w:rPr>
        <w:t>The inclusion of these areas (motivation, acculturation, and identity) has led to the formulation of a comprehensive path model towards the experience of psychological well-being (see Figure 1).</w:t>
      </w:r>
    </w:p>
    <w:p w:rsidR="001F3E1C" w:rsidRPr="00A869BB" w:rsidRDefault="001F3E1C" w:rsidP="001F3E1C">
      <w:pPr>
        <w:spacing w:after="0" w:line="240" w:lineRule="auto"/>
        <w:ind w:firstLine="540"/>
        <w:jc w:val="both"/>
        <w:rPr>
          <w:rFonts w:ascii="Times New Roman" w:hAnsi="Times New Roman" w:cs="Times New Roman"/>
          <w:lang w:val="en-US"/>
        </w:rPr>
      </w:pPr>
    </w:p>
    <w:p w:rsidR="001F3E1C" w:rsidRPr="00A869BB" w:rsidRDefault="001F3E1C" w:rsidP="001F3E1C">
      <w:pPr>
        <w:spacing w:after="0" w:line="240" w:lineRule="auto"/>
        <w:jc w:val="both"/>
        <w:outlineLvl w:val="0"/>
        <w:rPr>
          <w:rFonts w:ascii="Times New Roman" w:hAnsi="Times New Roman" w:cs="Times New Roman"/>
          <w:i/>
          <w:iCs/>
          <w:lang w:val="en-US"/>
        </w:rPr>
      </w:pPr>
      <w:r w:rsidRPr="00A869BB">
        <w:rPr>
          <w:rFonts w:ascii="Times New Roman" w:hAnsi="Times New Roman" w:cs="Times New Roman"/>
          <w:i/>
          <w:iCs/>
          <w:lang w:val="en-US"/>
        </w:rPr>
        <w:t xml:space="preserve">Figure 1: </w:t>
      </w:r>
      <w:r>
        <w:rPr>
          <w:rFonts w:ascii="Times New Roman" w:hAnsi="Times New Roman" w:cs="Times New Roman"/>
          <w:i/>
          <w:iCs/>
          <w:lang w:val="en-US"/>
        </w:rPr>
        <w:t>Conceptual p</w:t>
      </w:r>
      <w:r w:rsidRPr="00A869BB">
        <w:rPr>
          <w:rFonts w:ascii="Times New Roman" w:hAnsi="Times New Roman" w:cs="Times New Roman"/>
          <w:i/>
          <w:iCs/>
          <w:lang w:val="en-US"/>
        </w:rPr>
        <w:t>ath model towards well-being</w:t>
      </w:r>
    </w:p>
    <w:p w:rsidR="001F3E1C" w:rsidRPr="00A869BB" w:rsidRDefault="001F3E1C" w:rsidP="001F3E1C">
      <w:pPr>
        <w:spacing w:after="0" w:line="240" w:lineRule="auto"/>
        <w:jc w:val="center"/>
        <w:rPr>
          <w:rFonts w:ascii="Times New Roman" w:hAnsi="Times New Roman" w:cs="Times New Roman"/>
        </w:rPr>
      </w:pPr>
      <w:r w:rsidRPr="00A869BB">
        <w:rPr>
          <w:rFonts w:ascii="Times New Roman" w:hAnsi="Times New Roman" w:cs="Times New Roman"/>
          <w:noProof/>
          <w:lang w:val="nl-NL" w:eastAsia="nl-NL"/>
        </w:rPr>
        <w:drawing>
          <wp:inline distT="0" distB="0" distL="0" distR="0">
            <wp:extent cx="4686300" cy="1972292"/>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86300" cy="1972292"/>
                    </a:xfrm>
                    <a:prstGeom prst="rect">
                      <a:avLst/>
                    </a:prstGeom>
                    <a:noFill/>
                    <a:ln>
                      <a:noFill/>
                    </a:ln>
                  </pic:spPr>
                </pic:pic>
              </a:graphicData>
            </a:graphic>
          </wp:inline>
        </w:drawing>
      </w:r>
    </w:p>
    <w:p w:rsidR="001F3E1C" w:rsidRPr="00A869BB" w:rsidRDefault="001F3E1C" w:rsidP="001F3E1C">
      <w:pPr>
        <w:spacing w:after="0" w:line="240" w:lineRule="auto"/>
        <w:ind w:firstLine="540"/>
        <w:jc w:val="both"/>
        <w:rPr>
          <w:rFonts w:ascii="Times New Roman" w:hAnsi="Times New Roman" w:cs="Times New Roman"/>
          <w:lang w:val="en-US"/>
        </w:rPr>
      </w:pPr>
    </w:p>
    <w:p w:rsidR="001F3E1C" w:rsidRPr="00A869BB" w:rsidRDefault="001F3E1C" w:rsidP="001F3E1C">
      <w:pPr>
        <w:tabs>
          <w:tab w:val="num" w:pos="720"/>
        </w:tabs>
        <w:spacing w:after="0" w:line="240" w:lineRule="auto"/>
        <w:ind w:firstLine="851"/>
        <w:jc w:val="both"/>
        <w:rPr>
          <w:rFonts w:ascii="Times New Roman" w:hAnsi="Times New Roman" w:cs="Times New Roman"/>
          <w:iCs/>
          <w:lang w:val="en-GB"/>
        </w:rPr>
      </w:pPr>
      <w:r w:rsidRPr="00A869BB">
        <w:rPr>
          <w:rFonts w:ascii="Times New Roman" w:hAnsi="Times New Roman" w:cs="Times New Roman"/>
          <w:lang w:val="en-US"/>
        </w:rPr>
        <w:t xml:space="preserve">In our study (Bender, Chasiotis, Hofer, &amp; van de Vijver, 2011), we have assessed 134 bicultural Turkish-Dutch individuals, and have asked them to fill out a </w:t>
      </w:r>
      <w:r w:rsidRPr="00A869BB">
        <w:rPr>
          <w:rFonts w:ascii="Times New Roman" w:hAnsi="Times New Roman" w:cs="Times New Roman"/>
          <w:iCs/>
          <w:lang w:val="en-GB"/>
        </w:rPr>
        <w:t xml:space="preserve">Picture Story Exercise to assess their implicit motivation (Winter, 1991), the </w:t>
      </w:r>
      <w:proofErr w:type="spellStart"/>
      <w:r w:rsidRPr="00A869BB">
        <w:rPr>
          <w:rFonts w:ascii="Times New Roman" w:hAnsi="Times New Roman" w:cs="Times New Roman"/>
          <w:iCs/>
          <w:lang w:val="en-GB"/>
        </w:rPr>
        <w:t>PRF</w:t>
      </w:r>
      <w:proofErr w:type="spellEnd"/>
      <w:r w:rsidRPr="00A869BB">
        <w:rPr>
          <w:rFonts w:ascii="Times New Roman" w:hAnsi="Times New Roman" w:cs="Times New Roman"/>
          <w:iCs/>
          <w:lang w:val="en-GB"/>
        </w:rPr>
        <w:t xml:space="preserve"> (Personality Research Form) to obtain indices of explicit motivation (Jackson, 1989), and the Extended Objective Measure of Ego Identity Status (EOM-</w:t>
      </w:r>
      <w:proofErr w:type="spellStart"/>
      <w:r w:rsidRPr="00A869BB">
        <w:rPr>
          <w:rFonts w:ascii="Times New Roman" w:hAnsi="Times New Roman" w:cs="Times New Roman"/>
          <w:iCs/>
          <w:lang w:val="en-GB"/>
        </w:rPr>
        <w:t>EIS</w:t>
      </w:r>
      <w:proofErr w:type="spellEnd"/>
      <w:r w:rsidRPr="00A869BB">
        <w:rPr>
          <w:rFonts w:ascii="Times New Roman" w:hAnsi="Times New Roman" w:cs="Times New Roman"/>
          <w:iCs/>
          <w:lang w:val="en-GB"/>
        </w:rPr>
        <w:t>) (</w:t>
      </w:r>
      <w:proofErr w:type="spellStart"/>
      <w:r w:rsidRPr="00A869BB">
        <w:rPr>
          <w:rFonts w:ascii="Times New Roman" w:hAnsi="Times New Roman" w:cs="Times New Roman"/>
          <w:iCs/>
          <w:lang w:val="en-GB"/>
        </w:rPr>
        <w:t>Bennion</w:t>
      </w:r>
      <w:proofErr w:type="spellEnd"/>
      <w:r w:rsidRPr="00A869BB">
        <w:rPr>
          <w:rFonts w:ascii="Times New Roman" w:hAnsi="Times New Roman" w:cs="Times New Roman"/>
          <w:iCs/>
          <w:lang w:val="en-GB"/>
        </w:rPr>
        <w:t>&amp; Adams, 1986), as well as to respond to a scale on acculturation orientation (</w:t>
      </w:r>
      <w:proofErr w:type="spellStart"/>
      <w:r w:rsidRPr="00A869BB">
        <w:rPr>
          <w:rFonts w:ascii="Times New Roman" w:hAnsi="Times New Roman" w:cs="Times New Roman"/>
          <w:iCs/>
          <w:lang w:val="en-GB"/>
        </w:rPr>
        <w:t>Arends-Tóth</w:t>
      </w:r>
      <w:proofErr w:type="spellEnd"/>
      <w:r w:rsidRPr="00A869BB">
        <w:rPr>
          <w:rFonts w:ascii="Times New Roman" w:hAnsi="Times New Roman" w:cs="Times New Roman"/>
          <w:iCs/>
          <w:lang w:val="en-GB"/>
        </w:rPr>
        <w:t xml:space="preserve">&amp; Van de Vijver, 2006). As outcome variables, we administered several scales on subjective well-being (cognitive: </w:t>
      </w:r>
      <w:proofErr w:type="spellStart"/>
      <w:r w:rsidRPr="00A869BB">
        <w:rPr>
          <w:rFonts w:ascii="Times New Roman" w:hAnsi="Times New Roman" w:cs="Times New Roman"/>
          <w:iCs/>
          <w:lang w:val="en-GB"/>
        </w:rPr>
        <w:t>SWLS</w:t>
      </w:r>
      <w:proofErr w:type="spellEnd"/>
      <w:r w:rsidRPr="00A869BB">
        <w:rPr>
          <w:rFonts w:ascii="Times New Roman" w:hAnsi="Times New Roman" w:cs="Times New Roman"/>
          <w:iCs/>
          <w:lang w:val="en-GB"/>
        </w:rPr>
        <w:t xml:space="preserve">, Satisfaction with Life Scale, </w:t>
      </w:r>
      <w:proofErr w:type="spellStart"/>
      <w:r w:rsidRPr="00A869BB">
        <w:rPr>
          <w:rFonts w:ascii="Times New Roman" w:hAnsi="Times New Roman" w:cs="Times New Roman"/>
          <w:iCs/>
          <w:lang w:val="en-GB"/>
        </w:rPr>
        <w:t>Diener</w:t>
      </w:r>
      <w:proofErr w:type="spellEnd"/>
      <w:r w:rsidRPr="00A869BB">
        <w:rPr>
          <w:rFonts w:ascii="Times New Roman" w:hAnsi="Times New Roman" w:cs="Times New Roman"/>
          <w:iCs/>
          <w:lang w:val="en-GB"/>
        </w:rPr>
        <w:t xml:space="preserve">, Emmons, Larsen, &amp; </w:t>
      </w:r>
      <w:r w:rsidRPr="00A869BB">
        <w:rPr>
          <w:rFonts w:ascii="Times New Roman" w:hAnsi="Times New Roman" w:cs="Times New Roman"/>
          <w:iCs/>
          <w:lang w:val="en-GB"/>
        </w:rPr>
        <w:lastRenderedPageBreak/>
        <w:t xml:space="preserve">Griffin, 1985; affective: </w:t>
      </w:r>
      <w:proofErr w:type="spellStart"/>
      <w:r w:rsidRPr="00A869BB">
        <w:rPr>
          <w:rFonts w:ascii="Times New Roman" w:hAnsi="Times New Roman" w:cs="Times New Roman"/>
          <w:iCs/>
          <w:lang w:val="en-GB"/>
        </w:rPr>
        <w:t>PANAS</w:t>
      </w:r>
      <w:proofErr w:type="spellEnd"/>
      <w:r w:rsidRPr="00A869BB">
        <w:rPr>
          <w:rFonts w:ascii="Times New Roman" w:hAnsi="Times New Roman" w:cs="Times New Roman"/>
          <w:iCs/>
          <w:lang w:val="en-GB"/>
        </w:rPr>
        <w:t xml:space="preserve">, Positive </w:t>
      </w:r>
      <w:proofErr w:type="gramStart"/>
      <w:r w:rsidRPr="00A869BB">
        <w:rPr>
          <w:rFonts w:ascii="Times New Roman" w:hAnsi="Times New Roman" w:cs="Times New Roman"/>
          <w:iCs/>
          <w:lang w:val="en-GB"/>
        </w:rPr>
        <w:t>And</w:t>
      </w:r>
      <w:proofErr w:type="gramEnd"/>
      <w:r w:rsidRPr="00A869BB">
        <w:rPr>
          <w:rFonts w:ascii="Times New Roman" w:hAnsi="Times New Roman" w:cs="Times New Roman"/>
          <w:iCs/>
          <w:lang w:val="en-GB"/>
        </w:rPr>
        <w:t xml:space="preserve"> Negative Affective Schedule, Watson, Clark, &amp;</w:t>
      </w:r>
      <w:proofErr w:type="spellStart"/>
      <w:r w:rsidRPr="00A869BB">
        <w:rPr>
          <w:rFonts w:ascii="Times New Roman" w:hAnsi="Times New Roman" w:cs="Times New Roman"/>
          <w:iCs/>
          <w:lang w:val="en-GB"/>
        </w:rPr>
        <w:t>Tellegen</w:t>
      </w:r>
      <w:proofErr w:type="spellEnd"/>
      <w:r w:rsidRPr="00A869BB">
        <w:rPr>
          <w:rFonts w:ascii="Times New Roman" w:hAnsi="Times New Roman" w:cs="Times New Roman"/>
          <w:iCs/>
          <w:lang w:val="en-GB"/>
        </w:rPr>
        <w:t xml:space="preserve">, 1988). </w:t>
      </w:r>
    </w:p>
    <w:p w:rsidR="001F3E1C" w:rsidRDefault="001F3E1C" w:rsidP="001F3E1C">
      <w:pPr>
        <w:tabs>
          <w:tab w:val="num" w:pos="720"/>
        </w:tabs>
        <w:spacing w:after="0" w:line="240" w:lineRule="auto"/>
        <w:ind w:firstLine="851"/>
        <w:jc w:val="both"/>
        <w:rPr>
          <w:rFonts w:ascii="Times New Roman" w:hAnsi="Times New Roman" w:cs="Times New Roman"/>
          <w:iCs/>
          <w:lang w:val="en-GB"/>
        </w:rPr>
      </w:pPr>
      <w:r w:rsidRPr="00A869BB">
        <w:rPr>
          <w:rFonts w:ascii="Times New Roman" w:hAnsi="Times New Roman" w:cs="Times New Roman"/>
          <w:iCs/>
          <w:lang w:val="en-GB"/>
        </w:rPr>
        <w:t>In support of our notion of a path from implicit and explicit motivation to the interaction of acculturation orientation and identity status towards psychological well-being holds (see Fi</w:t>
      </w:r>
      <w:r>
        <w:rPr>
          <w:rFonts w:ascii="Times New Roman" w:hAnsi="Times New Roman" w:cs="Times New Roman"/>
          <w:iCs/>
          <w:lang w:val="en-GB"/>
        </w:rPr>
        <w:t>gure 2</w:t>
      </w:r>
      <w:r w:rsidRPr="00A869BB">
        <w:rPr>
          <w:rFonts w:ascii="Times New Roman" w:hAnsi="Times New Roman" w:cs="Times New Roman"/>
          <w:iCs/>
          <w:lang w:val="en-GB"/>
        </w:rPr>
        <w:t xml:space="preserve">), we could obtain a satisfactory model fit using structural equation modelling for the relational domain (i.e., implicit and explicit affiliation, achieved identity, adaptation, and cognitive well-being). In particular, we found that an achieved identity was best predicted by a congruence of explicit and implicit affiliation motivation. In turn, a pronounced achieved identity only leads to the experience of cognitive well-being if the individual does not exhibit a strong adaptation orientation. In other words, it might not be beneficial for individuals who have established a clear sense of their identity on the basis of aligning explicit goals and implicit desires to adapt to the host culture. Arguably, an already strong sense of identity is more difficult to malleable, and in terms of individual well-being other approaches might be more promising. </w:t>
      </w:r>
    </w:p>
    <w:p w:rsidR="001F3E1C" w:rsidRPr="00A869BB" w:rsidRDefault="001F3E1C" w:rsidP="001F3E1C">
      <w:pPr>
        <w:tabs>
          <w:tab w:val="num" w:pos="720"/>
        </w:tabs>
        <w:spacing w:after="0" w:line="240" w:lineRule="auto"/>
        <w:ind w:firstLine="851"/>
        <w:jc w:val="both"/>
        <w:rPr>
          <w:rFonts w:ascii="Times New Roman" w:hAnsi="Times New Roman" w:cs="Times New Roman"/>
          <w:iCs/>
          <w:lang w:val="en-GB"/>
        </w:rPr>
      </w:pPr>
      <w:r w:rsidRPr="00A869BB">
        <w:rPr>
          <w:rFonts w:ascii="Times New Roman" w:hAnsi="Times New Roman" w:cs="Times New Roman"/>
          <w:iCs/>
          <w:lang w:val="en-GB"/>
        </w:rPr>
        <w:t xml:space="preserve">Quite similarly, we also found that individuals that have adopted their identity largely from their parents (foreclosure identity status) experience lower negative affect when they actively maintain their culture of origin. At the same time however, they still report a low cognitive well-being. While an alignment thus seems to be a buffer against negative </w:t>
      </w:r>
      <w:proofErr w:type="spellStart"/>
      <w:r w:rsidRPr="00A869BB">
        <w:rPr>
          <w:rFonts w:ascii="Times New Roman" w:hAnsi="Times New Roman" w:cs="Times New Roman"/>
          <w:iCs/>
          <w:lang w:val="en-GB"/>
        </w:rPr>
        <w:t>affect</w:t>
      </w:r>
      <w:proofErr w:type="spellEnd"/>
      <w:r w:rsidRPr="00A869BB">
        <w:rPr>
          <w:rFonts w:ascii="Times New Roman" w:hAnsi="Times New Roman" w:cs="Times New Roman"/>
          <w:iCs/>
          <w:lang w:val="en-GB"/>
        </w:rPr>
        <w:t xml:space="preserve">, people might still be cognitively aware of their problematic situation. </w:t>
      </w:r>
    </w:p>
    <w:p w:rsidR="001F3E1C" w:rsidRPr="00A869BB" w:rsidRDefault="001F3E1C" w:rsidP="001F3E1C">
      <w:pPr>
        <w:tabs>
          <w:tab w:val="num" w:pos="720"/>
        </w:tabs>
        <w:spacing w:after="0" w:line="240" w:lineRule="auto"/>
        <w:ind w:firstLine="851"/>
        <w:jc w:val="both"/>
        <w:rPr>
          <w:rFonts w:ascii="Times New Roman" w:hAnsi="Times New Roman" w:cs="Times New Roman"/>
          <w:iCs/>
          <w:lang w:val="en-GB"/>
        </w:rPr>
      </w:pPr>
      <w:r w:rsidRPr="00A869BB">
        <w:rPr>
          <w:rFonts w:ascii="Times New Roman" w:hAnsi="Times New Roman" w:cs="Times New Roman"/>
          <w:iCs/>
          <w:lang w:val="en-GB"/>
        </w:rPr>
        <w:t xml:space="preserve">But are there other pathways that are more conducive for an adaptation orientation when following this line of thought? Indeed: Individuals that are still in a state of moratorium (who are still exploring their identity) and pursue an adaptation orientation show higher cognitive well-being. Individuals, that do not explore their identities anymore (low moratorium), however, benefit from a maintenance orientation – a combination that also leads to high cognitive well-being. </w:t>
      </w:r>
    </w:p>
    <w:p w:rsidR="001F3E1C" w:rsidRPr="00A869BB" w:rsidRDefault="001F3E1C" w:rsidP="001F3E1C">
      <w:pPr>
        <w:tabs>
          <w:tab w:val="num" w:pos="720"/>
        </w:tabs>
        <w:spacing w:after="0" w:line="240" w:lineRule="auto"/>
        <w:jc w:val="both"/>
        <w:rPr>
          <w:rFonts w:ascii="Times New Roman" w:hAnsi="Times New Roman" w:cs="Times New Roman"/>
          <w:iCs/>
          <w:lang w:val="en-GB"/>
        </w:rPr>
      </w:pPr>
    </w:p>
    <w:p w:rsidR="001F3E1C" w:rsidRPr="00A869BB" w:rsidRDefault="001F3E1C" w:rsidP="001F3E1C">
      <w:pPr>
        <w:tabs>
          <w:tab w:val="num" w:pos="720"/>
        </w:tabs>
        <w:spacing w:after="0" w:line="240" w:lineRule="auto"/>
        <w:jc w:val="both"/>
        <w:rPr>
          <w:rFonts w:ascii="Times New Roman" w:hAnsi="Times New Roman" w:cs="Times New Roman"/>
          <w:i/>
          <w:iCs/>
          <w:lang w:val="en-GB"/>
        </w:rPr>
      </w:pPr>
      <w:r w:rsidRPr="00A869BB">
        <w:rPr>
          <w:rFonts w:ascii="Times New Roman" w:hAnsi="Times New Roman" w:cs="Times New Roman"/>
          <w:i/>
          <w:iCs/>
          <w:lang w:val="en-GB"/>
        </w:rPr>
        <w:t xml:space="preserve">Figure 2: </w:t>
      </w:r>
      <w:r>
        <w:rPr>
          <w:rFonts w:ascii="Times New Roman" w:hAnsi="Times New Roman" w:cs="Times New Roman"/>
          <w:i/>
          <w:iCs/>
          <w:lang w:val="en-GB"/>
        </w:rPr>
        <w:t>Obtained p</w:t>
      </w:r>
      <w:r w:rsidRPr="00A869BB">
        <w:rPr>
          <w:rFonts w:ascii="Times New Roman" w:hAnsi="Times New Roman" w:cs="Times New Roman"/>
          <w:i/>
          <w:iCs/>
          <w:lang w:val="en-GB"/>
        </w:rPr>
        <w:t xml:space="preserve">ath model towards well-being </w:t>
      </w:r>
    </w:p>
    <w:p w:rsidR="001F3E1C" w:rsidRPr="00A869BB" w:rsidRDefault="001F3E1C" w:rsidP="001F3E1C">
      <w:pPr>
        <w:tabs>
          <w:tab w:val="num" w:pos="720"/>
        </w:tabs>
        <w:spacing w:after="0" w:line="240" w:lineRule="auto"/>
        <w:ind w:firstLine="851"/>
        <w:jc w:val="both"/>
        <w:rPr>
          <w:rFonts w:ascii="Times New Roman" w:hAnsi="Times New Roman" w:cs="Times New Roman"/>
          <w:iCs/>
          <w:lang w:val="en-GB"/>
        </w:rPr>
      </w:pPr>
    </w:p>
    <w:p w:rsidR="001F3E1C" w:rsidRPr="00A869BB" w:rsidRDefault="001F3E1C" w:rsidP="001F3E1C">
      <w:pPr>
        <w:tabs>
          <w:tab w:val="num" w:pos="720"/>
        </w:tabs>
        <w:spacing w:after="0" w:line="240" w:lineRule="auto"/>
        <w:jc w:val="center"/>
        <w:rPr>
          <w:rFonts w:ascii="Times New Roman" w:hAnsi="Times New Roman" w:cs="Times New Roman"/>
          <w:iCs/>
          <w:lang w:val="en-GB"/>
        </w:rPr>
      </w:pPr>
      <w:r w:rsidRPr="00A869BB">
        <w:rPr>
          <w:rFonts w:ascii="Times New Roman" w:hAnsi="Times New Roman" w:cs="Times New Roman"/>
          <w:iCs/>
          <w:noProof/>
          <w:lang w:val="nl-NL" w:eastAsia="nl-NL"/>
        </w:rPr>
        <w:drawing>
          <wp:inline distT="0" distB="0" distL="0" distR="0">
            <wp:extent cx="4514850" cy="1638300"/>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82000" cy="3352800"/>
                      <a:chOff x="395288" y="2020888"/>
                      <a:chExt cx="8382000" cy="3352800"/>
                    </a:xfrm>
                  </a:grpSpPr>
                  <a:sp>
                    <a:nvSpPr>
                      <a:cNvPr id="26628" name="Rectangle 24"/>
                      <a:cNvSpPr>
                        <a:spLocks noChangeArrowheads="1"/>
                      </a:cNvSpPr>
                    </a:nvSpPr>
                    <a:spPr bwMode="auto">
                      <a:xfrm>
                        <a:off x="3290888" y="2020888"/>
                        <a:ext cx="2590800" cy="3352800"/>
                      </a:xfrm>
                      <a:prstGeom prst="rect">
                        <a:avLst/>
                      </a:prstGeom>
                      <a:solidFill>
                        <a:srgbClr val="EAEAEA"/>
                      </a:solidFill>
                      <a:ln w="9525">
                        <a:solidFill>
                          <a:schemeClr val="tx1"/>
                        </a:solidFill>
                        <a:prstDash val="sysDot"/>
                        <a:miter lim="800000"/>
                        <a:headEnd/>
                        <a:tailEnd/>
                      </a:ln>
                    </a:spPr>
                    <a:txSp>
                      <a:txBody>
                        <a:bodyPr wrap="none"/>
                        <a:lstStyle>
                          <a:defPPr>
                            <a:defRPr lang="nl-NL"/>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400" b="1" i="1"/>
                            <a:t>Acculturation Orientations</a:t>
                          </a:r>
                        </a:p>
                      </a:txBody>
                      <a:useSpRect/>
                    </a:txSp>
                  </a:sp>
                  <a:sp>
                    <a:nvSpPr>
                      <a:cNvPr id="26629" name="Rectangle 25"/>
                      <a:cNvSpPr>
                        <a:spLocks noChangeArrowheads="1"/>
                      </a:cNvSpPr>
                    </a:nvSpPr>
                    <a:spPr bwMode="auto">
                      <a:xfrm>
                        <a:off x="6186488" y="2020888"/>
                        <a:ext cx="2590800" cy="3352800"/>
                      </a:xfrm>
                      <a:prstGeom prst="rect">
                        <a:avLst/>
                      </a:prstGeom>
                      <a:solidFill>
                        <a:srgbClr val="EAEAEA"/>
                      </a:solidFill>
                      <a:ln w="9525">
                        <a:solidFill>
                          <a:schemeClr val="tx1"/>
                        </a:solidFill>
                        <a:prstDash val="sysDot"/>
                        <a:miter lim="800000"/>
                        <a:headEnd/>
                        <a:tailEnd/>
                      </a:ln>
                    </a:spPr>
                    <a:txSp>
                      <a:txBody>
                        <a:bodyPr wrap="none"/>
                        <a:lstStyle>
                          <a:defPPr>
                            <a:defRPr lang="nl-NL"/>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400" b="1" i="1"/>
                            <a:t>Acculturation Outcomes</a:t>
                          </a:r>
                        </a:p>
                      </a:txBody>
                      <a:useSpRect/>
                    </a:txSp>
                  </a:sp>
                  <a:sp>
                    <a:nvSpPr>
                      <a:cNvPr id="26630" name="Rectangle 21"/>
                      <a:cNvSpPr>
                        <a:spLocks noChangeArrowheads="1"/>
                      </a:cNvSpPr>
                    </a:nvSpPr>
                    <a:spPr bwMode="auto">
                      <a:xfrm>
                        <a:off x="395288" y="2020888"/>
                        <a:ext cx="2590800" cy="3352800"/>
                      </a:xfrm>
                      <a:prstGeom prst="rect">
                        <a:avLst/>
                      </a:prstGeom>
                      <a:solidFill>
                        <a:srgbClr val="EAEAEA"/>
                      </a:solidFill>
                      <a:ln w="9525">
                        <a:solidFill>
                          <a:schemeClr val="tx1"/>
                        </a:solidFill>
                        <a:prstDash val="sysDot"/>
                        <a:miter lim="800000"/>
                        <a:headEnd/>
                        <a:tailEnd/>
                      </a:ln>
                    </a:spPr>
                    <a:txSp>
                      <a:txBody>
                        <a:bodyPr wrap="none"/>
                        <a:lstStyle>
                          <a:defPPr>
                            <a:defRPr lang="nl-NL"/>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400" b="1" i="1"/>
                            <a:t>Acculturation Conditions</a:t>
                          </a:r>
                        </a:p>
                      </a:txBody>
                      <a:useSpRect/>
                    </a:txSp>
                  </a:sp>
                  <a:sp>
                    <a:nvSpPr>
                      <a:cNvPr id="7" name="Rectangle 4"/>
                      <a:cNvSpPr>
                        <a:spLocks noChangeArrowheads="1"/>
                      </a:cNvSpPr>
                    </a:nvSpPr>
                    <a:spPr bwMode="auto">
                      <a:xfrm>
                        <a:off x="547688" y="2554288"/>
                        <a:ext cx="1295400" cy="609600"/>
                      </a:xfrm>
                      <a:prstGeom prst="rect">
                        <a:avLst/>
                      </a:prstGeom>
                      <a:solidFill>
                        <a:schemeClr val="bg1"/>
                      </a:solidFill>
                      <a:ln w="9525">
                        <a:solidFill>
                          <a:schemeClr val="tx1"/>
                        </a:solidFill>
                        <a:miter lim="800000"/>
                        <a:headEnd/>
                        <a:tailEnd/>
                      </a:ln>
                    </a:spPr>
                    <a:txSp>
                      <a:txBody>
                        <a:bodyPr anchor="ctr"/>
                        <a:lstStyle>
                          <a:defPPr>
                            <a:defRPr lang="nl-NL"/>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Implicit Affiliation</a:t>
                          </a:r>
                        </a:p>
                      </a:txBody>
                      <a:useSpRect/>
                    </a:txSp>
                  </a:sp>
                  <a:sp>
                    <a:nvSpPr>
                      <a:cNvPr id="8" name="Rectangle 5"/>
                      <a:cNvSpPr>
                        <a:spLocks noChangeArrowheads="1"/>
                      </a:cNvSpPr>
                    </a:nvSpPr>
                    <a:spPr bwMode="auto">
                      <a:xfrm>
                        <a:off x="547688" y="4611688"/>
                        <a:ext cx="1295400" cy="609600"/>
                      </a:xfrm>
                      <a:prstGeom prst="rect">
                        <a:avLst/>
                      </a:prstGeom>
                      <a:solidFill>
                        <a:schemeClr val="bg1"/>
                      </a:solidFill>
                      <a:ln w="9525">
                        <a:solidFill>
                          <a:schemeClr val="tx1"/>
                        </a:solidFill>
                        <a:miter lim="800000"/>
                        <a:headEnd/>
                        <a:tailEnd/>
                      </a:ln>
                    </a:spPr>
                    <a:txSp>
                      <a:txBody>
                        <a:bodyPr anchor="ctr"/>
                        <a:lstStyle>
                          <a:defPPr>
                            <a:defRPr lang="nl-NL"/>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Explicit Affiliation</a:t>
                          </a:r>
                        </a:p>
                      </a:txBody>
                      <a:useSpRect/>
                    </a:txSp>
                  </a:sp>
                  <a:sp>
                    <a:nvSpPr>
                      <a:cNvPr id="9" name="Rectangle 6"/>
                      <a:cNvSpPr>
                        <a:spLocks noChangeArrowheads="1"/>
                      </a:cNvSpPr>
                    </a:nvSpPr>
                    <a:spPr bwMode="auto">
                      <a:xfrm>
                        <a:off x="547688" y="3468688"/>
                        <a:ext cx="1295400" cy="838200"/>
                      </a:xfrm>
                      <a:prstGeom prst="rect">
                        <a:avLst/>
                      </a:prstGeom>
                      <a:solidFill>
                        <a:schemeClr val="bg1"/>
                      </a:solidFill>
                      <a:ln w="25400">
                        <a:solidFill>
                          <a:srgbClr val="FF0000"/>
                        </a:solidFill>
                        <a:miter lim="800000"/>
                        <a:headEnd/>
                        <a:tailEnd/>
                      </a:ln>
                    </a:spPr>
                    <a:txSp>
                      <a:txBody>
                        <a:bodyPr anchor="ctr"/>
                        <a:lstStyle>
                          <a:defPPr>
                            <a:defRPr lang="nl-NL"/>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b="1"/>
                            <a:t>Interaction</a:t>
                          </a:r>
                          <a:r>
                            <a:rPr lang="en-US" sz="1200"/>
                            <a:t> of Implicit and Explicit Affiliation</a:t>
                          </a:r>
                        </a:p>
                      </a:txBody>
                      <a:useSpRect/>
                    </a:txSp>
                  </a:sp>
                  <a:sp>
                    <a:nvSpPr>
                      <a:cNvPr id="26634" name="Rectangle 7"/>
                      <a:cNvSpPr>
                        <a:spLocks noChangeArrowheads="1"/>
                      </a:cNvSpPr>
                    </a:nvSpPr>
                    <a:spPr bwMode="auto">
                      <a:xfrm>
                        <a:off x="3443288" y="3468688"/>
                        <a:ext cx="1295400" cy="838200"/>
                      </a:xfrm>
                      <a:prstGeom prst="rect">
                        <a:avLst/>
                      </a:prstGeom>
                      <a:solidFill>
                        <a:schemeClr val="bg1"/>
                      </a:solidFill>
                      <a:ln w="25400">
                        <a:solidFill>
                          <a:srgbClr val="FF0000"/>
                        </a:solidFill>
                        <a:miter lim="800000"/>
                        <a:headEnd/>
                        <a:tailEnd/>
                      </a:ln>
                    </a:spPr>
                    <a:txSp>
                      <a:txBody>
                        <a:bodyPr anchor="ctr"/>
                        <a:lstStyle>
                          <a:defPPr>
                            <a:defRPr lang="nl-NL"/>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b="1"/>
                            <a:t>Interaction</a:t>
                          </a:r>
                          <a:r>
                            <a:rPr lang="en-US" sz="1200"/>
                            <a:t> of Adaptation and Achieved Identity Status</a:t>
                          </a:r>
                        </a:p>
                      </a:txBody>
                      <a:useSpRect/>
                    </a:txSp>
                  </a:sp>
                  <a:sp>
                    <a:nvSpPr>
                      <a:cNvPr id="26635" name="Rectangle 8"/>
                      <a:cNvSpPr>
                        <a:spLocks noChangeArrowheads="1"/>
                      </a:cNvSpPr>
                    </a:nvSpPr>
                    <a:spPr bwMode="auto">
                      <a:xfrm>
                        <a:off x="7253288" y="3468688"/>
                        <a:ext cx="1295400" cy="838200"/>
                      </a:xfrm>
                      <a:prstGeom prst="rect">
                        <a:avLst/>
                      </a:prstGeom>
                      <a:solidFill>
                        <a:schemeClr val="bg1"/>
                      </a:solidFill>
                      <a:ln w="25400">
                        <a:solidFill>
                          <a:schemeClr val="tx1"/>
                        </a:solidFill>
                        <a:miter lim="800000"/>
                        <a:headEnd/>
                        <a:tailEnd/>
                      </a:ln>
                    </a:spPr>
                    <a:txSp>
                      <a:txBody>
                        <a:bodyPr anchor="ctr"/>
                        <a:lstStyle>
                          <a:defPPr>
                            <a:defRPr lang="nl-NL"/>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Cognitive</a:t>
                          </a:r>
                        </a:p>
                        <a:p>
                          <a:pPr algn="ctr"/>
                          <a:r>
                            <a:rPr lang="en-US" sz="1200"/>
                            <a:t>Well-being</a:t>
                          </a:r>
                        </a:p>
                      </a:txBody>
                      <a:useSpRect/>
                    </a:txSp>
                  </a:sp>
                  <a:sp>
                    <a:nvSpPr>
                      <a:cNvPr id="26636" name="Rectangle 10"/>
                      <a:cNvSpPr>
                        <a:spLocks noChangeArrowheads="1"/>
                      </a:cNvSpPr>
                    </a:nvSpPr>
                    <a:spPr bwMode="auto">
                      <a:xfrm>
                        <a:off x="3443288" y="4611688"/>
                        <a:ext cx="1295400" cy="609600"/>
                      </a:xfrm>
                      <a:prstGeom prst="rect">
                        <a:avLst/>
                      </a:prstGeom>
                      <a:solidFill>
                        <a:schemeClr val="bg1"/>
                      </a:solidFill>
                      <a:ln w="9525">
                        <a:solidFill>
                          <a:schemeClr val="tx1"/>
                        </a:solidFill>
                        <a:miter lim="800000"/>
                        <a:headEnd/>
                        <a:tailEnd/>
                      </a:ln>
                    </a:spPr>
                    <a:txSp>
                      <a:txBody>
                        <a:bodyPr anchor="ctr"/>
                        <a:lstStyle>
                          <a:defPPr>
                            <a:defRPr lang="nl-NL"/>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Adaptation</a:t>
                          </a:r>
                        </a:p>
                        <a:p>
                          <a:pPr algn="ctr"/>
                          <a:r>
                            <a:rPr lang="en-US" sz="1200"/>
                            <a:t>Orientation</a:t>
                          </a:r>
                        </a:p>
                      </a:txBody>
                      <a:useSpRect/>
                    </a:txSp>
                  </a:sp>
                  <a:cxnSp>
                    <a:nvCxnSpPr>
                      <a:cNvPr id="26637" name="AutoShape 15"/>
                      <a:cNvCxnSpPr>
                        <a:cxnSpLocks noChangeShapeType="1"/>
                        <a:stCxn id="26634" idx="3"/>
                        <a:endCxn id="26635" idx="1"/>
                      </a:cNvCxnSpPr>
                    </a:nvCxnSpPr>
                    <a:spPr bwMode="auto">
                      <a:xfrm>
                        <a:off x="4738688" y="3887788"/>
                        <a:ext cx="2514600" cy="1587"/>
                      </a:xfrm>
                      <a:prstGeom prst="straightConnector1">
                        <a:avLst/>
                      </a:prstGeom>
                      <a:noFill/>
                      <a:ln w="31750">
                        <a:solidFill>
                          <a:schemeClr val="tx1"/>
                        </a:solidFill>
                        <a:round/>
                        <a:headEnd/>
                        <a:tailEnd type="triangle" w="med" len="lg"/>
                      </a:ln>
                    </a:spPr>
                  </a:cxnSp>
                  <a:cxnSp>
                    <a:nvCxnSpPr>
                      <a:cNvPr id="26638" name="AutoShape 15"/>
                      <a:cNvCxnSpPr>
                        <a:cxnSpLocks noChangeShapeType="1"/>
                        <a:stCxn id="26643" idx="3"/>
                      </a:cNvCxnSpPr>
                    </a:nvCxnSpPr>
                    <a:spPr bwMode="auto">
                      <a:xfrm>
                        <a:off x="4738688" y="2859088"/>
                        <a:ext cx="2514600" cy="838200"/>
                      </a:xfrm>
                      <a:prstGeom prst="straightConnector1">
                        <a:avLst/>
                      </a:prstGeom>
                      <a:noFill/>
                      <a:ln w="31750">
                        <a:solidFill>
                          <a:schemeClr val="tx1"/>
                        </a:solidFill>
                        <a:round/>
                        <a:headEnd/>
                        <a:tailEnd type="triangle" w="med" len="lg"/>
                      </a:ln>
                    </a:spPr>
                  </a:cxnSp>
                  <a:cxnSp>
                    <a:nvCxnSpPr>
                      <a:cNvPr id="26639" name="AutoShape 15"/>
                      <a:cNvCxnSpPr>
                        <a:cxnSpLocks noChangeShapeType="1"/>
                        <a:stCxn id="26636" idx="3"/>
                      </a:cNvCxnSpPr>
                    </a:nvCxnSpPr>
                    <a:spPr bwMode="auto">
                      <a:xfrm flipV="1">
                        <a:off x="4738688" y="4078288"/>
                        <a:ext cx="2514600" cy="838200"/>
                      </a:xfrm>
                      <a:prstGeom prst="straightConnector1">
                        <a:avLst/>
                      </a:prstGeom>
                      <a:noFill/>
                      <a:ln w="31750">
                        <a:solidFill>
                          <a:schemeClr val="tx1"/>
                        </a:solidFill>
                        <a:round/>
                        <a:headEnd/>
                        <a:tailEnd type="triangle" w="med" len="lg"/>
                      </a:ln>
                    </a:spPr>
                  </a:cxnSp>
                  <a:sp>
                    <a:nvSpPr>
                      <a:cNvPr id="26640" name="TextBox 19"/>
                      <a:cNvSpPr txBox="1">
                        <a:spLocks noChangeArrowheads="1"/>
                      </a:cNvSpPr>
                    </a:nvSpPr>
                    <a:spPr bwMode="auto">
                      <a:xfrm>
                        <a:off x="5272088" y="2706688"/>
                        <a:ext cx="504825" cy="369887"/>
                      </a:xfrm>
                      <a:prstGeom prst="rect">
                        <a:avLst/>
                      </a:prstGeom>
                      <a:noFill/>
                      <a:ln w="9525">
                        <a:noFill/>
                        <a:miter lim="800000"/>
                        <a:headEnd/>
                        <a:tailEnd/>
                      </a:ln>
                    </a:spPr>
                    <a:txSp>
                      <a:txBody>
                        <a:bodyPr wrap="none">
                          <a:spAutoFit/>
                        </a:bodyPr>
                        <a:lstStyle>
                          <a:defPPr>
                            <a:defRPr lang="nl-NL"/>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solidFill>
                                <a:srgbClr val="FF0000"/>
                              </a:solidFill>
                            </a:rPr>
                            <a:t>.30</a:t>
                          </a:r>
                        </a:p>
                      </a:txBody>
                      <a:useSpRect/>
                    </a:txSp>
                  </a:sp>
                  <a:sp>
                    <a:nvSpPr>
                      <a:cNvPr id="26641" name="TextBox 20"/>
                      <a:cNvSpPr txBox="1">
                        <a:spLocks noChangeArrowheads="1"/>
                      </a:cNvSpPr>
                    </a:nvSpPr>
                    <a:spPr bwMode="auto">
                      <a:xfrm>
                        <a:off x="5195888" y="3544888"/>
                        <a:ext cx="582612" cy="369887"/>
                      </a:xfrm>
                      <a:prstGeom prst="rect">
                        <a:avLst/>
                      </a:prstGeom>
                      <a:noFill/>
                      <a:ln w="9525">
                        <a:noFill/>
                        <a:miter lim="800000"/>
                        <a:headEnd/>
                        <a:tailEnd/>
                      </a:ln>
                    </a:spPr>
                    <a:txSp>
                      <a:txBody>
                        <a:bodyPr wrap="none">
                          <a:spAutoFit/>
                        </a:bodyPr>
                        <a:lstStyle>
                          <a:defPPr>
                            <a:defRPr lang="nl-NL"/>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solidFill>
                                <a:srgbClr val="FF0000"/>
                              </a:solidFill>
                            </a:rPr>
                            <a:t>-.17</a:t>
                          </a:r>
                        </a:p>
                      </a:txBody>
                      <a:useSpRect/>
                    </a:txSp>
                  </a:sp>
                  <a:sp>
                    <a:nvSpPr>
                      <a:cNvPr id="26642" name="TextBox 21"/>
                      <a:cNvSpPr txBox="1">
                        <a:spLocks noChangeArrowheads="1"/>
                      </a:cNvSpPr>
                    </a:nvSpPr>
                    <a:spPr bwMode="auto">
                      <a:xfrm>
                        <a:off x="5272088" y="4306888"/>
                        <a:ext cx="504825" cy="369887"/>
                      </a:xfrm>
                      <a:prstGeom prst="rect">
                        <a:avLst/>
                      </a:prstGeom>
                      <a:noFill/>
                      <a:ln w="9525">
                        <a:noFill/>
                        <a:miter lim="800000"/>
                        <a:headEnd/>
                        <a:tailEnd/>
                      </a:ln>
                    </a:spPr>
                    <a:txSp>
                      <a:txBody>
                        <a:bodyPr wrap="none">
                          <a:spAutoFit/>
                        </a:bodyPr>
                        <a:lstStyle>
                          <a:defPPr>
                            <a:defRPr lang="nl-NL"/>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solidFill>
                                <a:srgbClr val="FF0000"/>
                              </a:solidFill>
                            </a:rPr>
                            <a:t>.31</a:t>
                          </a:r>
                        </a:p>
                      </a:txBody>
                      <a:useSpRect/>
                    </a:txSp>
                  </a:sp>
                  <a:sp>
                    <a:nvSpPr>
                      <a:cNvPr id="26643" name="Rectangle 9"/>
                      <a:cNvSpPr>
                        <a:spLocks noChangeArrowheads="1"/>
                      </a:cNvSpPr>
                    </a:nvSpPr>
                    <a:spPr bwMode="auto">
                      <a:xfrm>
                        <a:off x="3443288" y="2554288"/>
                        <a:ext cx="1295400" cy="609600"/>
                      </a:xfrm>
                      <a:prstGeom prst="rect">
                        <a:avLst/>
                      </a:prstGeom>
                      <a:solidFill>
                        <a:schemeClr val="bg1"/>
                      </a:solidFill>
                      <a:ln w="9525">
                        <a:solidFill>
                          <a:schemeClr val="tx1"/>
                        </a:solidFill>
                        <a:miter lim="800000"/>
                        <a:headEnd/>
                        <a:tailEnd/>
                      </a:ln>
                    </a:spPr>
                    <a:txSp>
                      <a:txBody>
                        <a:bodyPr anchor="ctr"/>
                        <a:lstStyle>
                          <a:defPPr>
                            <a:defRPr lang="nl-NL"/>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Achieved</a:t>
                          </a:r>
                        </a:p>
                        <a:p>
                          <a:pPr algn="ctr"/>
                          <a:r>
                            <a:rPr lang="en-US" sz="1200"/>
                            <a:t>Identity Status</a:t>
                          </a:r>
                        </a:p>
                      </a:txBody>
                      <a:useSpRect/>
                    </a:txSp>
                  </a:sp>
                  <a:cxnSp>
                    <a:nvCxnSpPr>
                      <a:cNvPr id="26644" name="AutoShape 13"/>
                      <a:cNvCxnSpPr>
                        <a:cxnSpLocks noChangeShapeType="1"/>
                        <a:stCxn id="9" idx="3"/>
                      </a:cNvCxnSpPr>
                    </a:nvCxnSpPr>
                    <a:spPr bwMode="auto">
                      <a:xfrm flipV="1">
                        <a:off x="1843088" y="3011488"/>
                        <a:ext cx="1600200" cy="876300"/>
                      </a:xfrm>
                      <a:prstGeom prst="straightConnector1">
                        <a:avLst/>
                      </a:prstGeom>
                      <a:noFill/>
                      <a:ln w="31750">
                        <a:solidFill>
                          <a:schemeClr val="tx1"/>
                        </a:solidFill>
                        <a:round/>
                        <a:headEnd/>
                        <a:tailEnd type="triangle" w="med" len="lg"/>
                      </a:ln>
                    </a:spPr>
                  </a:cxnSp>
                  <a:cxnSp>
                    <a:nvCxnSpPr>
                      <a:cNvPr id="26645" name="AutoShape 13"/>
                      <a:cNvCxnSpPr>
                        <a:cxnSpLocks noChangeShapeType="1"/>
                        <a:stCxn id="7" idx="3"/>
                        <a:endCxn id="26643" idx="1"/>
                      </a:cNvCxnSpPr>
                    </a:nvCxnSpPr>
                    <a:spPr bwMode="auto">
                      <a:xfrm>
                        <a:off x="1843088" y="2859088"/>
                        <a:ext cx="1600200" cy="1587"/>
                      </a:xfrm>
                      <a:prstGeom prst="straightConnector1">
                        <a:avLst/>
                      </a:prstGeom>
                      <a:noFill/>
                      <a:ln w="31750">
                        <a:solidFill>
                          <a:schemeClr val="tx1"/>
                        </a:solidFill>
                        <a:round/>
                        <a:headEnd/>
                        <a:tailEnd type="triangle" w="med" len="lg"/>
                      </a:ln>
                    </a:spPr>
                  </a:cxnSp>
                  <a:cxnSp>
                    <a:nvCxnSpPr>
                      <a:cNvPr id="26646" name="AutoShape 15"/>
                      <a:cNvCxnSpPr>
                        <a:cxnSpLocks noChangeShapeType="1"/>
                        <a:stCxn id="8" idx="3"/>
                      </a:cNvCxnSpPr>
                    </a:nvCxnSpPr>
                    <a:spPr bwMode="auto">
                      <a:xfrm flipV="1">
                        <a:off x="1843088" y="3163888"/>
                        <a:ext cx="1600200" cy="1752600"/>
                      </a:xfrm>
                      <a:prstGeom prst="straightConnector1">
                        <a:avLst/>
                      </a:prstGeom>
                      <a:noFill/>
                      <a:ln w="31750">
                        <a:solidFill>
                          <a:schemeClr val="tx1"/>
                        </a:solidFill>
                        <a:round/>
                        <a:headEnd/>
                        <a:tailEnd type="triangle" w="med" len="lg"/>
                      </a:ln>
                    </a:spPr>
                  </a:cxnSp>
                  <a:sp>
                    <a:nvSpPr>
                      <a:cNvPr id="26647" name="TextBox 22"/>
                      <a:cNvSpPr txBox="1">
                        <a:spLocks noChangeArrowheads="1"/>
                      </a:cNvSpPr>
                    </a:nvSpPr>
                    <a:spPr bwMode="auto">
                      <a:xfrm>
                        <a:off x="2176463" y="2554288"/>
                        <a:ext cx="581025" cy="369887"/>
                      </a:xfrm>
                      <a:prstGeom prst="rect">
                        <a:avLst/>
                      </a:prstGeom>
                      <a:noFill/>
                      <a:ln w="9525">
                        <a:noFill/>
                        <a:miter lim="800000"/>
                        <a:headEnd/>
                        <a:tailEnd/>
                      </a:ln>
                    </a:spPr>
                    <a:txSp>
                      <a:txBody>
                        <a:bodyPr wrap="none">
                          <a:spAutoFit/>
                        </a:bodyPr>
                        <a:lstStyle>
                          <a:defPPr>
                            <a:defRPr lang="nl-NL"/>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solidFill>
                                <a:srgbClr val="FF0000"/>
                              </a:solidFill>
                            </a:rPr>
                            <a:t>-.07</a:t>
                          </a:r>
                        </a:p>
                      </a:txBody>
                      <a:useSpRect/>
                    </a:txSp>
                  </a:sp>
                  <a:sp>
                    <a:nvSpPr>
                      <a:cNvPr id="26648" name="TextBox 23"/>
                      <a:cNvSpPr txBox="1">
                        <a:spLocks noChangeArrowheads="1"/>
                      </a:cNvSpPr>
                    </a:nvSpPr>
                    <a:spPr bwMode="auto">
                      <a:xfrm>
                        <a:off x="2252663" y="3098800"/>
                        <a:ext cx="504825" cy="369888"/>
                      </a:xfrm>
                      <a:prstGeom prst="rect">
                        <a:avLst/>
                      </a:prstGeom>
                      <a:noFill/>
                      <a:ln w="9525">
                        <a:noFill/>
                        <a:miter lim="800000"/>
                        <a:headEnd/>
                        <a:tailEnd/>
                      </a:ln>
                    </a:spPr>
                    <a:txSp>
                      <a:txBody>
                        <a:bodyPr wrap="none">
                          <a:spAutoFit/>
                        </a:bodyPr>
                        <a:lstStyle>
                          <a:defPPr>
                            <a:defRPr lang="nl-NL"/>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solidFill>
                                <a:srgbClr val="FF0000"/>
                              </a:solidFill>
                            </a:rPr>
                            <a:t>.23</a:t>
                          </a:r>
                        </a:p>
                      </a:txBody>
                      <a:useSpRect/>
                    </a:txSp>
                  </a:sp>
                  <a:sp>
                    <a:nvSpPr>
                      <a:cNvPr id="26649" name="TextBox 24"/>
                      <a:cNvSpPr txBox="1">
                        <a:spLocks noChangeArrowheads="1"/>
                      </a:cNvSpPr>
                    </a:nvSpPr>
                    <a:spPr bwMode="auto">
                      <a:xfrm>
                        <a:off x="2252663" y="3708400"/>
                        <a:ext cx="504825" cy="369888"/>
                      </a:xfrm>
                      <a:prstGeom prst="rect">
                        <a:avLst/>
                      </a:prstGeom>
                      <a:noFill/>
                      <a:ln w="9525">
                        <a:noFill/>
                        <a:miter lim="800000"/>
                        <a:headEnd/>
                        <a:tailEnd/>
                      </a:ln>
                    </a:spPr>
                    <a:txSp>
                      <a:txBody>
                        <a:bodyPr wrap="none">
                          <a:spAutoFit/>
                        </a:bodyPr>
                        <a:lstStyle>
                          <a:defPPr>
                            <a:defRPr lang="nl-NL"/>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solidFill>
                                <a:srgbClr val="FF0000"/>
                              </a:solidFill>
                            </a:rPr>
                            <a:t>.21</a:t>
                          </a:r>
                        </a:p>
                      </a:txBody>
                      <a:useSpRect/>
                    </a:txSp>
                  </a:sp>
                </lc:lockedCanvas>
              </a:graphicData>
            </a:graphic>
          </wp:inline>
        </w:drawing>
      </w:r>
    </w:p>
    <w:p w:rsidR="001F3E1C" w:rsidRPr="00A869BB" w:rsidRDefault="001F3E1C" w:rsidP="001F3E1C">
      <w:pPr>
        <w:tabs>
          <w:tab w:val="num" w:pos="720"/>
        </w:tabs>
        <w:spacing w:after="0" w:line="240" w:lineRule="auto"/>
        <w:jc w:val="center"/>
        <w:rPr>
          <w:rFonts w:ascii="Times New Roman" w:hAnsi="Times New Roman" w:cs="Times New Roman"/>
          <w:iCs/>
          <w:lang w:val="en-GB"/>
        </w:rPr>
      </w:pPr>
    </w:p>
    <w:p w:rsidR="001F3E1C" w:rsidRPr="00A869BB" w:rsidRDefault="001F3E1C" w:rsidP="001F3E1C">
      <w:pPr>
        <w:tabs>
          <w:tab w:val="num" w:pos="720"/>
        </w:tabs>
        <w:spacing w:after="0" w:line="240" w:lineRule="auto"/>
        <w:ind w:firstLine="851"/>
        <w:jc w:val="both"/>
        <w:rPr>
          <w:rFonts w:ascii="Times New Roman" w:hAnsi="Times New Roman" w:cs="Times New Roman"/>
          <w:iCs/>
          <w:lang w:val="en-US"/>
        </w:rPr>
      </w:pPr>
      <w:r w:rsidRPr="00A869BB">
        <w:rPr>
          <w:rFonts w:ascii="Times New Roman" w:hAnsi="Times New Roman" w:cs="Times New Roman"/>
          <w:iCs/>
          <w:lang w:val="en-GB"/>
        </w:rPr>
        <w:t xml:space="preserve">To summarize, this study represents the first </w:t>
      </w:r>
      <w:r w:rsidRPr="00A869BB">
        <w:rPr>
          <w:rFonts w:ascii="Times New Roman" w:hAnsi="Times New Roman" w:cs="Times New Roman"/>
          <w:iCs/>
          <w:lang w:val="en-US"/>
        </w:rPr>
        <w:t xml:space="preserve">to include implicit measures in the investigation of acculturation, and we could demonstrate that motivational congruence (implicit/explicit) is an important and up till now neglected predictor of well-being. We found evidence for the proposed path model: Motivational congruence (implicit/explicit) predicts an achieved identity status, which in turn interacts with adaptation to predict well-being. Including these variables provides a more fine-grained analysis that explains the complex situation of immigrants, both with regard to </w:t>
      </w:r>
      <w:r w:rsidRPr="00A869BB">
        <w:rPr>
          <w:rFonts w:ascii="Times New Roman" w:hAnsi="Times New Roman" w:cs="Times New Roman"/>
          <w:iCs/>
          <w:u w:val="single"/>
          <w:lang w:val="en-US"/>
        </w:rPr>
        <w:t>cognitive</w:t>
      </w:r>
      <w:r w:rsidRPr="00A869BB">
        <w:rPr>
          <w:rFonts w:ascii="Times New Roman" w:hAnsi="Times New Roman" w:cs="Times New Roman"/>
          <w:iCs/>
          <w:lang w:val="en-US"/>
        </w:rPr>
        <w:t xml:space="preserve"> as well as </w:t>
      </w:r>
      <w:r w:rsidRPr="00A869BB">
        <w:rPr>
          <w:rFonts w:ascii="Times New Roman" w:hAnsi="Times New Roman" w:cs="Times New Roman"/>
          <w:iCs/>
          <w:u w:val="single"/>
          <w:lang w:val="en-US"/>
        </w:rPr>
        <w:t>affective</w:t>
      </w:r>
      <w:r w:rsidRPr="00A869BB">
        <w:rPr>
          <w:rFonts w:ascii="Times New Roman" w:hAnsi="Times New Roman" w:cs="Times New Roman"/>
          <w:iCs/>
          <w:lang w:val="en-US"/>
        </w:rPr>
        <w:t xml:space="preserve"> measures of well-being. We observed that individuals with a firmly established sense do not benefit from pursuing the orientation to substantially adapt to the host culture. Complementing this finding, we also showed that relying on parental views for the establishment of one’s identity goes better together with an active pursuit of maintaining one’s culture of origin, while an ongoing exploration of one’s identity in a moratorium holds more positive effects for well-being when actively exploring the host culture.</w:t>
      </w:r>
    </w:p>
    <w:p w:rsidR="00D74D82" w:rsidRPr="001F3E1C" w:rsidRDefault="00D74D82" w:rsidP="001E62C9">
      <w:pPr>
        <w:spacing w:after="0" w:line="280" w:lineRule="atLeast"/>
        <w:rPr>
          <w:lang w:val="en-US"/>
        </w:rPr>
      </w:pPr>
    </w:p>
    <w:sectPr w:rsidR="00D74D82" w:rsidRPr="001F3E1C" w:rsidSect="00D74D8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defaultTabStop w:val="708"/>
  <w:hyphenationZone w:val="425"/>
  <w:characterSpacingControl w:val="doNotCompress"/>
  <w:compat/>
  <w:rsids>
    <w:rsidRoot w:val="001F3E1C"/>
    <w:rsid w:val="001E62C9"/>
    <w:rsid w:val="001F3E1C"/>
    <w:rsid w:val="003468F4"/>
    <w:rsid w:val="0044433D"/>
    <w:rsid w:val="0049358B"/>
    <w:rsid w:val="00601EBA"/>
    <w:rsid w:val="0061718D"/>
    <w:rsid w:val="00831744"/>
    <w:rsid w:val="00865C4C"/>
    <w:rsid w:val="008A32D3"/>
    <w:rsid w:val="00910825"/>
    <w:rsid w:val="00CC2137"/>
    <w:rsid w:val="00D74D82"/>
    <w:rsid w:val="00F2264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E1C"/>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3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E1C"/>
    <w:rPr>
      <w:rFonts w:ascii="Tahoma" w:hAnsi="Tahoma" w:cs="Tahoma"/>
      <w:sz w:val="16"/>
      <w:szCs w:val="16"/>
      <w:lang w:val="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edia/image1.jpeg" Type="http://schemas.openxmlformats.org/officeDocument/2006/relationships/image"/><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Template>
  <TotalTime>0</TotalTime>
  <Pages>2</Pages>
  <Words>1049</Words>
  <Characters>5773</Characters>
  <Application>Microsoft Office Word</Application>
  <DocSecurity>0</DocSecurity>
  <Lines>48</Lines>
  <Paragraphs>13</Paragraphs>
  <ScaleCrop>false</ScaleCrop>
  <Company xsi:nil="true"/>
  <LinksUpToDate>false</LinksUpToDate>
  <CharactersWithSpaces>6809</CharactersWithSpaces>
  <SharedDoc>false</SharedDoc>
  <HyperlinksChanged>false</HyperlinksChanged>
  <AppVersion>12.0000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2011-03-21T07:42:00Z</dcterms:created>
  <dcterms:modified xsi:type="dcterms:W3CDTF">2011-03-21T07:42:00Z</dcterms:modified>
  <cp:revision>1</cp:revision>
</cp:coreProperties>
</file>