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30" w:rsidRPr="00136830" w:rsidRDefault="00523527" w:rsidP="00A749DD">
      <w:pPr>
        <w:shd w:val="clear" w:color="auto" w:fill="FFFFFF"/>
        <w:spacing w:after="0" w:line="480" w:lineRule="auto"/>
        <w:jc w:val="both"/>
        <w:rPr>
          <w:rFonts w:eastAsia="Times New Roman" w:cs="Arial"/>
          <w:b/>
          <w:lang w:val="en-US" w:eastAsia="nl-BE"/>
        </w:rPr>
      </w:pPr>
      <w:r>
        <w:rPr>
          <w:rFonts w:eastAsia="Times New Roman" w:cs="Arial"/>
          <w:b/>
          <w:lang w:val="en-US" w:eastAsia="nl-BE"/>
        </w:rPr>
        <w:t>S</w:t>
      </w:r>
      <w:r w:rsidR="00855B30" w:rsidRPr="00136830">
        <w:rPr>
          <w:rFonts w:eastAsia="Times New Roman" w:cs="Arial"/>
          <w:b/>
          <w:lang w:val="en-US" w:eastAsia="nl-BE"/>
        </w:rPr>
        <w:t>ummary description of the project c</w:t>
      </w:r>
      <w:r>
        <w:rPr>
          <w:rFonts w:eastAsia="Times New Roman" w:cs="Arial"/>
          <w:b/>
          <w:lang w:val="en-US" w:eastAsia="nl-BE"/>
        </w:rPr>
        <w:t>ontext and the main objectives (4 pages)</w:t>
      </w:r>
    </w:p>
    <w:p w:rsidR="005D712B" w:rsidRDefault="00855B30" w:rsidP="00A749DD">
      <w:pPr>
        <w:spacing w:line="480" w:lineRule="auto"/>
        <w:jc w:val="both"/>
        <w:rPr>
          <w:lang w:val="en-US"/>
        </w:rPr>
      </w:pPr>
      <w:r w:rsidRPr="00B0373D">
        <w:rPr>
          <w:lang w:val="en-US"/>
        </w:rPr>
        <w:t xml:space="preserve">Numeric, skill and geographical imbalances in the health and nursing workforce are a major concern for providing safe patient care. </w:t>
      </w:r>
      <w:r w:rsidR="00B0373D" w:rsidRPr="00B0373D">
        <w:rPr>
          <w:rFonts w:ascii="Calibri" w:hAnsi="Calibri" w:cs="Calibri"/>
          <w:color w:val="000000"/>
          <w:lang w:val="en-US"/>
        </w:rPr>
        <w:t xml:space="preserve">Driven by ageing populations, demand for healthcare and for nurses </w:t>
      </w:r>
      <w:r w:rsidR="00B0373D" w:rsidRPr="008F68F7">
        <w:rPr>
          <w:rFonts w:ascii="Calibri" w:hAnsi="Calibri" w:cs="Calibri"/>
          <w:color w:val="000000"/>
          <w:lang w:val="en-US"/>
        </w:rPr>
        <w:t>will continue to grow, whilst the supply of</w:t>
      </w:r>
      <w:r w:rsidR="00F570CE">
        <w:rPr>
          <w:rFonts w:ascii="Calibri" w:hAnsi="Calibri" w:cs="Calibri"/>
          <w:color w:val="000000"/>
          <w:lang w:val="en-US"/>
        </w:rPr>
        <w:t xml:space="preserve"> available nurses will drop [1,2</w:t>
      </w:r>
      <w:r w:rsidR="00B0373D" w:rsidRPr="008F68F7">
        <w:rPr>
          <w:rFonts w:ascii="Calibri" w:hAnsi="Calibri" w:cs="Calibri"/>
          <w:color w:val="000000"/>
          <w:lang w:val="en-US"/>
        </w:rPr>
        <w:t xml:space="preserve">]. </w:t>
      </w:r>
      <w:r w:rsidR="00CF64F6">
        <w:rPr>
          <w:rFonts w:ascii="Calibri" w:hAnsi="Calibri" w:cs="Calibri"/>
          <w:color w:val="000000"/>
          <w:lang w:val="en-US"/>
        </w:rPr>
        <w:t>I</w:t>
      </w:r>
      <w:r w:rsidR="00B0373D" w:rsidRPr="008F68F7">
        <w:rPr>
          <w:rFonts w:ascii="Calibri" w:hAnsi="Calibri" w:cs="Calibri"/>
          <w:color w:val="000000"/>
          <w:lang w:val="en-US"/>
        </w:rPr>
        <w:t>t is</w:t>
      </w:r>
      <w:r w:rsidR="00CF64F6">
        <w:rPr>
          <w:rFonts w:ascii="Calibri" w:hAnsi="Calibri" w:cs="Calibri"/>
          <w:color w:val="000000"/>
          <w:lang w:val="en-US"/>
        </w:rPr>
        <w:t xml:space="preserve"> therefore</w:t>
      </w:r>
      <w:r w:rsidR="00B0373D" w:rsidRPr="008F68F7">
        <w:rPr>
          <w:rFonts w:ascii="Calibri" w:hAnsi="Calibri" w:cs="Calibri"/>
          <w:color w:val="000000"/>
          <w:lang w:val="en-US"/>
        </w:rPr>
        <w:t xml:space="preserve"> expected that the shortages will accelerate in the coming decade and will be more serious than the cyclical shortages of the p</w:t>
      </w:r>
      <w:r w:rsidR="00F570CE">
        <w:rPr>
          <w:rFonts w:ascii="Calibri" w:hAnsi="Calibri" w:cs="Calibri"/>
          <w:color w:val="000000"/>
          <w:lang w:val="en-US"/>
        </w:rPr>
        <w:t>ast [1]</w:t>
      </w:r>
      <w:r w:rsidR="00B0373D" w:rsidRPr="008F68F7">
        <w:rPr>
          <w:rFonts w:ascii="Calibri" w:hAnsi="Calibri" w:cs="Calibri"/>
          <w:color w:val="000000"/>
          <w:lang w:val="en-US"/>
        </w:rPr>
        <w:t>. This nursing shortage will ultimately constrain health system reform and innovation, and c</w:t>
      </w:r>
      <w:r w:rsidR="00D70704">
        <w:rPr>
          <w:rFonts w:ascii="Calibri" w:hAnsi="Calibri" w:cs="Calibri"/>
          <w:color w:val="000000"/>
          <w:lang w:val="en-US"/>
        </w:rPr>
        <w:t>ontribute to escalating costs [3</w:t>
      </w:r>
      <w:r w:rsidR="00B0373D" w:rsidRPr="008F68F7">
        <w:rPr>
          <w:rFonts w:ascii="Calibri" w:hAnsi="Calibri" w:cs="Calibri"/>
          <w:color w:val="000000"/>
          <w:lang w:val="en-US"/>
        </w:rPr>
        <w:t>]</w:t>
      </w:r>
      <w:r w:rsidR="008F68F7">
        <w:rPr>
          <w:rFonts w:ascii="Calibri" w:hAnsi="Calibri" w:cs="Calibri"/>
          <w:color w:val="000000"/>
          <w:lang w:val="en-US"/>
        </w:rPr>
        <w:t xml:space="preserve">. </w:t>
      </w:r>
      <w:r w:rsidRPr="00136830">
        <w:rPr>
          <w:lang w:val="en-US"/>
        </w:rPr>
        <w:t>Two comprehensive analyses of global human resources for health, the 2004 Joint Learning Initiative and the 2006 World Health Report, concluded that all countries can accelerate health gains through more strategic investments in and manageme</w:t>
      </w:r>
      <w:r w:rsidR="00D70704">
        <w:rPr>
          <w:lang w:val="en-US"/>
        </w:rPr>
        <w:t>n</w:t>
      </w:r>
      <w:r w:rsidR="00B855F8">
        <w:rPr>
          <w:lang w:val="en-US"/>
        </w:rPr>
        <w:t>t of their nursing workforce [</w:t>
      </w:r>
      <w:r w:rsidR="00D70704">
        <w:rPr>
          <w:lang w:val="en-US"/>
        </w:rPr>
        <w:t>4,5</w:t>
      </w:r>
      <w:r w:rsidR="00B855F8">
        <w:rPr>
          <w:lang w:val="en-US"/>
        </w:rPr>
        <w:t>]</w:t>
      </w:r>
      <w:r w:rsidRPr="00136830">
        <w:rPr>
          <w:lang w:val="en-US"/>
        </w:rPr>
        <w:t xml:space="preserve">. </w:t>
      </w:r>
    </w:p>
    <w:p w:rsidR="005E73CA" w:rsidRPr="005E73CA" w:rsidRDefault="00855B30" w:rsidP="00A749DD">
      <w:pPr>
        <w:spacing w:line="480" w:lineRule="auto"/>
        <w:jc w:val="both"/>
        <w:rPr>
          <w:rFonts w:ascii="Calibri" w:hAnsi="Calibri" w:cs="Calibri"/>
          <w:color w:val="000000"/>
          <w:sz w:val="20"/>
          <w:szCs w:val="20"/>
          <w:lang w:val="en-US"/>
        </w:rPr>
      </w:pPr>
      <w:r w:rsidRPr="00136830">
        <w:rPr>
          <w:lang w:val="en-US"/>
        </w:rPr>
        <w:t xml:space="preserve">Evidence-based workforce planning methods could provide an important tool to rationalize policy makers’ decisions and strategies for avoiding dynamic </w:t>
      </w:r>
      <w:r w:rsidRPr="005D712B">
        <w:rPr>
          <w:lang w:val="en-US"/>
        </w:rPr>
        <w:t xml:space="preserve">workforce shortages. </w:t>
      </w:r>
      <w:r w:rsidR="00F21AF5" w:rsidRPr="005D712B">
        <w:rPr>
          <w:rFonts w:ascii="Calibri" w:hAnsi="Calibri" w:cs="Calibri"/>
          <w:color w:val="000000"/>
          <w:lang w:val="en-US"/>
        </w:rPr>
        <w:t xml:space="preserve">However, the conclusion of a review of current nursing workforce planning and forecasting was that </w:t>
      </w:r>
      <w:r w:rsidR="00CF64F6">
        <w:rPr>
          <w:rFonts w:ascii="Calibri" w:hAnsi="Calibri" w:cs="Calibri"/>
          <w:color w:val="000000"/>
          <w:lang w:val="en-US"/>
        </w:rPr>
        <w:t xml:space="preserve">they all </w:t>
      </w:r>
      <w:r w:rsidR="00F21AF5" w:rsidRPr="005D712B">
        <w:rPr>
          <w:rFonts w:ascii="Calibri" w:hAnsi="Calibri" w:cs="Calibri"/>
          <w:color w:val="000000"/>
          <w:lang w:val="en-US"/>
        </w:rPr>
        <w:t>show serious shortcomings in terms of comprehensiven</w:t>
      </w:r>
      <w:r w:rsidR="00B855F8">
        <w:rPr>
          <w:rFonts w:ascii="Calibri" w:hAnsi="Calibri" w:cs="Calibri"/>
          <w:color w:val="000000"/>
          <w:lang w:val="en-US"/>
        </w:rPr>
        <w:t>ess and accuracy of forecasts [6</w:t>
      </w:r>
      <w:r w:rsidR="00F21AF5" w:rsidRPr="005D712B">
        <w:rPr>
          <w:rFonts w:ascii="Calibri" w:hAnsi="Calibri" w:cs="Calibri"/>
          <w:color w:val="000000"/>
          <w:lang w:val="en-US"/>
        </w:rPr>
        <w:t>]. The multiplicity of inputs and consequences of societal, health systems, and professional trends, makes the determination of the optimal number of nurses for any given country very complex.</w:t>
      </w:r>
      <w:r w:rsidR="00F21AF5" w:rsidRPr="00F21AF5">
        <w:rPr>
          <w:rFonts w:ascii="Calibri" w:hAnsi="Calibri" w:cs="Calibri"/>
          <w:color w:val="000000"/>
          <w:sz w:val="20"/>
          <w:szCs w:val="20"/>
          <w:lang w:val="en-US"/>
        </w:rPr>
        <w:t xml:space="preserve"> </w:t>
      </w:r>
      <w:r w:rsidR="005E73CA" w:rsidRPr="005E73CA">
        <w:rPr>
          <w:rFonts w:ascii="Calibri" w:hAnsi="Calibri" w:cs="Calibri"/>
          <w:color w:val="000000"/>
          <w:lang w:val="en-US"/>
        </w:rPr>
        <w:t xml:space="preserve">The </w:t>
      </w:r>
      <w:r w:rsidR="00450512" w:rsidRPr="005E73CA">
        <w:rPr>
          <w:rFonts w:ascii="Calibri" w:hAnsi="Calibri" w:cs="Calibri"/>
          <w:color w:val="000000"/>
          <w:lang w:val="en-US"/>
        </w:rPr>
        <w:t>simplest</w:t>
      </w:r>
      <w:r w:rsidR="005E73CA" w:rsidRPr="005E73CA">
        <w:rPr>
          <w:rFonts w:ascii="Calibri" w:hAnsi="Calibri" w:cs="Calibri"/>
          <w:color w:val="000000"/>
          <w:lang w:val="en-US"/>
        </w:rPr>
        <w:t xml:space="preserve"> approaches use only the ratio of healthcare </w:t>
      </w:r>
      <w:r w:rsidR="00B855F8">
        <w:rPr>
          <w:rFonts w:ascii="Calibri" w:hAnsi="Calibri" w:cs="Calibri"/>
          <w:color w:val="000000"/>
          <w:lang w:val="en-US"/>
        </w:rPr>
        <w:t>workers for their predictions [7</w:t>
      </w:r>
      <w:r w:rsidR="005E73CA" w:rsidRPr="005E73CA">
        <w:rPr>
          <w:rFonts w:ascii="Calibri" w:hAnsi="Calibri" w:cs="Calibri"/>
          <w:color w:val="000000"/>
          <w:lang w:val="en-US"/>
        </w:rPr>
        <w:t>]. Other country-specific forecasts of the need for nursing personnel generally take into account demand as well as supply factors based on historically established staffing levels, resources and estimates of demand for health services.</w:t>
      </w:r>
    </w:p>
    <w:p w:rsidR="00AB664B" w:rsidRDefault="00855B30" w:rsidP="00A749DD">
      <w:pPr>
        <w:spacing w:line="480" w:lineRule="auto"/>
        <w:jc w:val="both"/>
        <w:rPr>
          <w:rFonts w:cs="Times-Roman"/>
          <w:lang w:val="en-US" w:eastAsia="nl-BE"/>
        </w:rPr>
      </w:pPr>
      <w:r w:rsidRPr="00136830">
        <w:rPr>
          <w:lang w:val="en-US"/>
        </w:rPr>
        <w:t>A significant point for improvement to current methods is to address the avail</w:t>
      </w:r>
      <w:r w:rsidR="00450512">
        <w:rPr>
          <w:lang w:val="en-US"/>
        </w:rPr>
        <w:t>able evidence on the association</w:t>
      </w:r>
      <w:r w:rsidRPr="00136830">
        <w:rPr>
          <w:lang w:val="en-US"/>
        </w:rPr>
        <w:t xml:space="preserve"> between the organization of nursing system delivery strategies and quality and safety of healthcare. R</w:t>
      </w:r>
      <w:r w:rsidRPr="00136830">
        <w:rPr>
          <w:rFonts w:cs="Times-Roman"/>
          <w:lang w:val="en-US" w:eastAsia="nl-BE"/>
        </w:rPr>
        <w:t>esearch confirms that organizational features of nursing care, from better patient-to-nurse staffing ratios to sound work environments, are associated with improved nurse wellbeing and better patient outcomes, including patient mortal</w:t>
      </w:r>
      <w:r w:rsidR="00744D1B">
        <w:rPr>
          <w:rFonts w:cs="Times-Roman"/>
          <w:lang w:val="en-US" w:eastAsia="nl-BE"/>
        </w:rPr>
        <w:t>ity and satisfaction with care [8-13]</w:t>
      </w:r>
      <w:r w:rsidRPr="00136830">
        <w:rPr>
          <w:rFonts w:cs="Times-Roman"/>
          <w:lang w:val="en-US" w:eastAsia="nl-BE"/>
        </w:rPr>
        <w:t xml:space="preserve">. This body of evidence comes from US studies primarily, where it has been translated into practice and public </w:t>
      </w:r>
      <w:r w:rsidRPr="00136830">
        <w:rPr>
          <w:rFonts w:cs="Times-Roman"/>
          <w:lang w:val="en-US" w:eastAsia="nl-BE"/>
        </w:rPr>
        <w:lastRenderedPageBreak/>
        <w:t>policies through, for example, the enacting of n</w:t>
      </w:r>
      <w:r w:rsidRPr="00136830">
        <w:rPr>
          <w:lang w:val="en-US" w:eastAsia="nl-BE"/>
        </w:rPr>
        <w:t>urse staffing legislation and Magnet accreditation</w:t>
      </w:r>
      <w:r w:rsidRPr="00136830">
        <w:rPr>
          <w:rFonts w:cs="Times-Roman"/>
          <w:lang w:val="en-US" w:eastAsia="nl-BE"/>
        </w:rPr>
        <w:t xml:space="preserve"> for excellence in nurse work environments. </w:t>
      </w:r>
    </w:p>
    <w:p w:rsidR="00AB664B" w:rsidRDefault="00855B30" w:rsidP="00A749DD">
      <w:pPr>
        <w:spacing w:line="480" w:lineRule="auto"/>
        <w:jc w:val="both"/>
        <w:rPr>
          <w:lang w:val="en-US"/>
        </w:rPr>
      </w:pPr>
      <w:r w:rsidRPr="00136830">
        <w:rPr>
          <w:rFonts w:cs="Times-Roman"/>
          <w:lang w:val="en-US" w:eastAsia="nl-BE"/>
        </w:rPr>
        <w:t>There is little evidence of uptake of these research findings and evidence-based best practices in Europe, even though a few country-specific studies have reported similar findings</w:t>
      </w:r>
      <w:r w:rsidR="00744D1B">
        <w:rPr>
          <w:rFonts w:cs="Times-Roman"/>
          <w:lang w:val="en-US" w:eastAsia="nl-BE"/>
        </w:rPr>
        <w:t xml:space="preserve"> [14,15]</w:t>
      </w:r>
      <w:r w:rsidRPr="00136830">
        <w:rPr>
          <w:rFonts w:cs="Times-Roman"/>
          <w:lang w:val="en-US" w:eastAsia="nl-BE"/>
        </w:rPr>
        <w:t xml:space="preserve">. </w:t>
      </w:r>
      <w:r w:rsidRPr="00136830">
        <w:rPr>
          <w:lang w:val="en-US"/>
        </w:rPr>
        <w:t>Researchers from twelve European countries (Belgium, Finland, Germany, Greece, Ireland, Norway, Poland, Spain, Sweden, Switzerland, The Netherlands and England) therefore collaborate</w:t>
      </w:r>
      <w:r w:rsidR="009C3E13">
        <w:rPr>
          <w:lang w:val="en-US"/>
        </w:rPr>
        <w:t>d</w:t>
      </w:r>
      <w:r w:rsidRPr="00136830">
        <w:rPr>
          <w:lang w:val="en-US"/>
        </w:rPr>
        <w:t xml:space="preserve"> in the Registered Nurse Forecasting (RN4CAST) study, one of the largest nursing workforce studies ever conducted in the EU </w:t>
      </w:r>
      <w:r w:rsidR="00744D1B">
        <w:rPr>
          <w:lang w:val="en-US"/>
        </w:rPr>
        <w:t>[16]</w:t>
      </w:r>
      <w:r w:rsidRPr="00136830">
        <w:rPr>
          <w:lang w:val="en-US"/>
        </w:rPr>
        <w:t xml:space="preserve">. </w:t>
      </w:r>
      <w:r w:rsidR="00AB664B" w:rsidRPr="00136830">
        <w:rPr>
          <w:lang w:val="en-US"/>
        </w:rPr>
        <w:t xml:space="preserve">The RN4CAST consortium was strengthened by the 15 years of experience at the Centre for Health Outcomes and Policy Research at the University of Pennsylvania in conducting policy-relevant international studies of the nurse workforce. The study is also conducted in three countries outside Europe (Botswana, China, and South Africa) to provide a broader international perspective in later phases. </w:t>
      </w:r>
    </w:p>
    <w:p w:rsidR="00B21620" w:rsidRDefault="00855B30" w:rsidP="00A749DD">
      <w:pPr>
        <w:spacing w:line="480" w:lineRule="auto"/>
        <w:jc w:val="both"/>
        <w:rPr>
          <w:lang w:val="en-US"/>
        </w:rPr>
      </w:pPr>
      <w:r w:rsidRPr="00136830">
        <w:rPr>
          <w:lang w:val="en-US"/>
        </w:rPr>
        <w:t xml:space="preserve">The selection of countries allows for an evaluation of the US evidence in a broader European context in which a wide range of health systems are in place. The aim of the RN4CAST project </w:t>
      </w:r>
      <w:r w:rsidR="009147E4">
        <w:rPr>
          <w:lang w:val="en-US"/>
        </w:rPr>
        <w:t>wa</w:t>
      </w:r>
      <w:r w:rsidRPr="00136830">
        <w:rPr>
          <w:lang w:val="en-US"/>
        </w:rPr>
        <w:t>s to study the effects of nursing workforce dynamics such as number of nurse staff, skill-mix and working environment on nurse job satisfaction, intention-to-leave, patient satisfaction and patient outcomes. The consortium studies whether</w:t>
      </w:r>
      <w:r w:rsidRPr="00136830">
        <w:rPr>
          <w:rFonts w:cs="Times-Roman"/>
          <w:lang w:val="en-US" w:eastAsia="nl-BE"/>
        </w:rPr>
        <w:t xml:space="preserve"> the same associations are seen in all countries, whether some countries have been able to provide substantially better hospital work environments and greater patient satisfaction than others, and if so, why?</w:t>
      </w:r>
      <w:r w:rsidRPr="00136830">
        <w:rPr>
          <w:lang w:val="en-US"/>
        </w:rPr>
        <w:t xml:space="preserve"> </w:t>
      </w:r>
      <w:r w:rsidR="00C7677E">
        <w:rPr>
          <w:lang w:val="en-US"/>
        </w:rPr>
        <w:t>We hypothesize</w:t>
      </w:r>
      <w:r w:rsidR="009147E4">
        <w:rPr>
          <w:lang w:val="en-US"/>
        </w:rPr>
        <w:t>d</w:t>
      </w:r>
      <w:r w:rsidR="00C7677E">
        <w:rPr>
          <w:lang w:val="en-US"/>
        </w:rPr>
        <w:t xml:space="preserve"> that in hospitals where the organizational context of care is good, that is, where hospital nurse staffing and nurse work environments are better, patients benefit and the nurse workforce stability is enhanced.</w:t>
      </w:r>
      <w:r w:rsidR="00921BA8">
        <w:rPr>
          <w:lang w:val="en-US"/>
        </w:rPr>
        <w:t xml:space="preserve"> </w:t>
      </w:r>
      <w:r w:rsidR="009A179F">
        <w:rPr>
          <w:lang w:val="en-US"/>
        </w:rPr>
        <w:t>To measure these constructs</w:t>
      </w:r>
      <w:r w:rsidR="00AD6C7F">
        <w:rPr>
          <w:lang w:val="en-US"/>
        </w:rPr>
        <w:t xml:space="preserve">, </w:t>
      </w:r>
      <w:r w:rsidR="00921BA8">
        <w:rPr>
          <w:lang w:val="en-US"/>
        </w:rPr>
        <w:t xml:space="preserve">a multilevel cross sectional </w:t>
      </w:r>
      <w:r w:rsidR="00921BA8" w:rsidRPr="00B21620">
        <w:rPr>
          <w:lang w:val="en-US"/>
        </w:rPr>
        <w:t xml:space="preserve">design </w:t>
      </w:r>
      <w:r w:rsidR="003019A8">
        <w:rPr>
          <w:lang w:val="en-US"/>
        </w:rPr>
        <w:t xml:space="preserve">was set up </w:t>
      </w:r>
      <w:r w:rsidR="009A179F" w:rsidRPr="00B21620">
        <w:rPr>
          <w:lang w:val="en-US"/>
        </w:rPr>
        <w:t xml:space="preserve">in which nurses and patients </w:t>
      </w:r>
      <w:r w:rsidR="00793A3F">
        <w:rPr>
          <w:lang w:val="en-US"/>
        </w:rPr>
        <w:t xml:space="preserve">were sampled </w:t>
      </w:r>
      <w:r w:rsidR="009A179F" w:rsidRPr="00B21620">
        <w:rPr>
          <w:lang w:val="en-US"/>
        </w:rPr>
        <w:t xml:space="preserve">within nursing units within hospitals within countries. </w:t>
      </w:r>
      <w:r w:rsidR="00323389" w:rsidRPr="00B21620">
        <w:rPr>
          <w:lang w:val="en-US"/>
        </w:rPr>
        <w:t>During this period of data collection, we also aim</w:t>
      </w:r>
      <w:r w:rsidR="009147E4">
        <w:rPr>
          <w:lang w:val="en-US"/>
        </w:rPr>
        <w:t>ed</w:t>
      </w:r>
      <w:r w:rsidR="00323389" w:rsidRPr="00B21620">
        <w:rPr>
          <w:lang w:val="en-US"/>
        </w:rPr>
        <w:t xml:space="preserve"> to </w:t>
      </w:r>
      <w:r w:rsidR="00A2293F" w:rsidRPr="00B21620">
        <w:rPr>
          <w:lang w:val="en-US"/>
        </w:rPr>
        <w:t xml:space="preserve">evaluate and appraise the current nurse workforce </w:t>
      </w:r>
      <w:r w:rsidR="00323389" w:rsidRPr="00B21620">
        <w:rPr>
          <w:lang w:val="en-US"/>
        </w:rPr>
        <w:t>projection</w:t>
      </w:r>
      <w:r w:rsidR="00A2293F" w:rsidRPr="00B21620">
        <w:rPr>
          <w:lang w:val="en-US"/>
        </w:rPr>
        <w:t xml:space="preserve"> models and forecasts</w:t>
      </w:r>
      <w:r w:rsidR="00323389" w:rsidRPr="00B21620">
        <w:rPr>
          <w:lang w:val="en-US"/>
        </w:rPr>
        <w:t xml:space="preserve">. </w:t>
      </w:r>
      <w:r w:rsidR="00B21620" w:rsidRPr="00B21620">
        <w:rPr>
          <w:lang w:val="en-US"/>
        </w:rPr>
        <w:t xml:space="preserve">As such, we can </w:t>
      </w:r>
      <w:r w:rsidR="00B21620" w:rsidRPr="00B21620">
        <w:rPr>
          <w:rFonts w:ascii="Calibri" w:hAnsi="Calibri" w:cs="Calibri"/>
          <w:color w:val="000000"/>
          <w:lang w:val="en-US"/>
        </w:rPr>
        <w:t xml:space="preserve">expand and refine typical forecasting models with factors that take into </w:t>
      </w:r>
      <w:r w:rsidR="00B21620" w:rsidRPr="00B21620">
        <w:rPr>
          <w:rFonts w:ascii="Calibri" w:hAnsi="Calibri" w:cs="Calibri"/>
          <w:color w:val="000000"/>
          <w:lang w:val="en-US"/>
        </w:rPr>
        <w:lastRenderedPageBreak/>
        <w:t>account how features of work environments and qualifications of the nurse workforce impact on nurse wellbeing and patient outcomes.</w:t>
      </w:r>
      <w:r w:rsidRPr="00136830">
        <w:rPr>
          <w:lang w:val="en-US"/>
        </w:rPr>
        <w:t xml:space="preserve"> </w:t>
      </w:r>
    </w:p>
    <w:p w:rsidR="00855B30" w:rsidRPr="00136830" w:rsidRDefault="00855B30" w:rsidP="00A749DD">
      <w:pPr>
        <w:spacing w:line="480" w:lineRule="auto"/>
        <w:jc w:val="both"/>
        <w:rPr>
          <w:rFonts w:cs="Arial"/>
          <w:lang w:val="en-GB"/>
        </w:rPr>
      </w:pPr>
      <w:r w:rsidRPr="00136830">
        <w:rPr>
          <w:lang w:val="en-US"/>
        </w:rPr>
        <w:t>References</w:t>
      </w:r>
    </w:p>
    <w:p w:rsidR="00F570CE" w:rsidRPr="00757403" w:rsidRDefault="00826AE2" w:rsidP="00A749DD">
      <w:pPr>
        <w:pStyle w:val="Lijstalinea"/>
        <w:numPr>
          <w:ilvl w:val="0"/>
          <w:numId w:val="21"/>
        </w:numPr>
        <w:autoSpaceDE w:val="0"/>
        <w:autoSpaceDN w:val="0"/>
        <w:adjustRightInd w:val="0"/>
        <w:spacing w:after="0" w:line="480" w:lineRule="auto"/>
        <w:jc w:val="both"/>
        <w:rPr>
          <w:rFonts w:ascii="Times New Roman" w:hAnsi="Times New Roman" w:cs="Times New Roman"/>
        </w:rPr>
      </w:pPr>
      <w:r>
        <w:rPr>
          <w:rFonts w:ascii="Calibri" w:hAnsi="Calibri" w:cs="Calibri"/>
          <w:color w:val="000000"/>
        </w:rPr>
        <w:t>Buchan J, Aiken L.</w:t>
      </w:r>
      <w:r w:rsidR="00F570CE" w:rsidRPr="00757403">
        <w:rPr>
          <w:rFonts w:ascii="Calibri" w:hAnsi="Calibri" w:cs="Calibri"/>
          <w:color w:val="000000"/>
        </w:rPr>
        <w:t xml:space="preserve"> Solving nursing shortages: a common</w:t>
      </w:r>
      <w:r>
        <w:rPr>
          <w:rFonts w:ascii="Calibri" w:hAnsi="Calibri" w:cs="Calibri"/>
          <w:color w:val="000000"/>
        </w:rPr>
        <w:t xml:space="preserve"> priority. J </w:t>
      </w:r>
      <w:proofErr w:type="spellStart"/>
      <w:r>
        <w:rPr>
          <w:rFonts w:ascii="Calibri" w:hAnsi="Calibri" w:cs="Calibri"/>
          <w:color w:val="000000"/>
        </w:rPr>
        <w:t>Clin</w:t>
      </w:r>
      <w:proofErr w:type="spellEnd"/>
      <w:r>
        <w:rPr>
          <w:rFonts w:ascii="Calibri" w:hAnsi="Calibri" w:cs="Calibri"/>
          <w:color w:val="000000"/>
        </w:rPr>
        <w:t xml:space="preserve"> </w:t>
      </w:r>
      <w:proofErr w:type="spellStart"/>
      <w:r>
        <w:rPr>
          <w:rFonts w:ascii="Calibri" w:hAnsi="Calibri" w:cs="Calibri"/>
          <w:color w:val="000000"/>
        </w:rPr>
        <w:t>Nurs</w:t>
      </w:r>
      <w:proofErr w:type="spellEnd"/>
      <w:r>
        <w:rPr>
          <w:rFonts w:ascii="Calibri" w:hAnsi="Calibri" w:cs="Calibri"/>
          <w:color w:val="000000"/>
        </w:rPr>
        <w:t xml:space="preserve"> 2008, 17, </w:t>
      </w:r>
      <w:r w:rsidR="00F570CE" w:rsidRPr="00757403">
        <w:rPr>
          <w:rFonts w:ascii="Calibri" w:hAnsi="Calibri" w:cs="Calibri"/>
          <w:color w:val="000000"/>
        </w:rPr>
        <w:t xml:space="preserve">3262-3268. </w:t>
      </w:r>
    </w:p>
    <w:p w:rsidR="00D70704" w:rsidRPr="00757403" w:rsidRDefault="00F570CE" w:rsidP="00A749DD">
      <w:pPr>
        <w:pStyle w:val="Lijstalinea"/>
        <w:numPr>
          <w:ilvl w:val="0"/>
          <w:numId w:val="21"/>
        </w:numPr>
        <w:autoSpaceDE w:val="0"/>
        <w:autoSpaceDN w:val="0"/>
        <w:adjustRightInd w:val="0"/>
        <w:spacing w:after="0" w:line="480" w:lineRule="auto"/>
        <w:jc w:val="both"/>
        <w:rPr>
          <w:rFonts w:ascii="Times New Roman" w:hAnsi="Times New Roman" w:cs="Times New Roman"/>
        </w:rPr>
      </w:pPr>
      <w:proofErr w:type="spellStart"/>
      <w:r w:rsidRPr="00757403">
        <w:rPr>
          <w:rFonts w:ascii="Calibri" w:hAnsi="Calibri" w:cs="Calibri"/>
          <w:color w:val="000000"/>
        </w:rPr>
        <w:t>Simoens</w:t>
      </w:r>
      <w:proofErr w:type="spellEnd"/>
      <w:r w:rsidRPr="00757403">
        <w:rPr>
          <w:rFonts w:ascii="Calibri" w:hAnsi="Calibri" w:cs="Calibri"/>
          <w:color w:val="000000"/>
        </w:rPr>
        <w:t xml:space="preserve"> S, Villeneuve M, Hurst K: </w:t>
      </w:r>
      <w:proofErr w:type="spellStart"/>
      <w:r w:rsidRPr="00757403">
        <w:rPr>
          <w:rFonts w:ascii="Calibri" w:hAnsi="Calibri" w:cs="Calibri"/>
          <w:color w:val="000000"/>
        </w:rPr>
        <w:t>Tacling</w:t>
      </w:r>
      <w:proofErr w:type="spellEnd"/>
      <w:r w:rsidRPr="00757403">
        <w:rPr>
          <w:rFonts w:ascii="Calibri" w:hAnsi="Calibri" w:cs="Calibri"/>
          <w:color w:val="000000"/>
        </w:rPr>
        <w:t xml:space="preserve"> Nurse Shortages in OECD</w:t>
      </w:r>
      <w:r w:rsidR="00D70704" w:rsidRPr="00757403">
        <w:rPr>
          <w:rFonts w:ascii="Calibri" w:hAnsi="Calibri" w:cs="Calibri"/>
          <w:color w:val="000000"/>
        </w:rPr>
        <w:t xml:space="preserve"> </w:t>
      </w:r>
      <w:r w:rsidRPr="00757403">
        <w:rPr>
          <w:rFonts w:ascii="Calibri" w:hAnsi="Calibri" w:cs="Calibri"/>
          <w:color w:val="000000"/>
        </w:rPr>
        <w:t>Co</w:t>
      </w:r>
      <w:r w:rsidR="00B65D4D">
        <w:rPr>
          <w:rFonts w:ascii="Calibri" w:hAnsi="Calibri" w:cs="Calibri"/>
          <w:color w:val="000000"/>
        </w:rPr>
        <w:t>untries. Paris, OECD Publishing,</w:t>
      </w:r>
      <w:r w:rsidRPr="00757403">
        <w:rPr>
          <w:rFonts w:ascii="Calibri" w:hAnsi="Calibri" w:cs="Calibri"/>
          <w:color w:val="000000"/>
        </w:rPr>
        <w:t xml:space="preserve"> 2010, Ref Type: </w:t>
      </w:r>
      <w:r w:rsidR="00D70704" w:rsidRPr="00757403">
        <w:rPr>
          <w:rFonts w:ascii="Calibri" w:hAnsi="Calibri" w:cs="Calibri"/>
          <w:color w:val="000000"/>
        </w:rPr>
        <w:t xml:space="preserve">Report. </w:t>
      </w:r>
    </w:p>
    <w:p w:rsidR="00F570CE" w:rsidRPr="00757403" w:rsidRDefault="00F570CE" w:rsidP="00A749DD">
      <w:pPr>
        <w:pStyle w:val="Lijstalinea"/>
        <w:numPr>
          <w:ilvl w:val="0"/>
          <w:numId w:val="21"/>
        </w:numPr>
        <w:autoSpaceDE w:val="0"/>
        <w:autoSpaceDN w:val="0"/>
        <w:adjustRightInd w:val="0"/>
        <w:spacing w:after="0" w:line="480" w:lineRule="auto"/>
        <w:jc w:val="both"/>
        <w:rPr>
          <w:rFonts w:ascii="Times New Roman" w:hAnsi="Times New Roman" w:cs="Times New Roman"/>
        </w:rPr>
      </w:pPr>
      <w:proofErr w:type="spellStart"/>
      <w:r w:rsidRPr="00757403">
        <w:rPr>
          <w:rFonts w:ascii="Calibri" w:hAnsi="Calibri" w:cs="Calibri"/>
          <w:color w:val="000000"/>
        </w:rPr>
        <w:t>Buerhaus</w:t>
      </w:r>
      <w:proofErr w:type="spellEnd"/>
      <w:r w:rsidRPr="00757403">
        <w:rPr>
          <w:rFonts w:ascii="Calibri" w:hAnsi="Calibri" w:cs="Calibri"/>
          <w:color w:val="000000"/>
        </w:rPr>
        <w:t xml:space="preserve"> PI, </w:t>
      </w:r>
      <w:proofErr w:type="spellStart"/>
      <w:r w:rsidRPr="00757403">
        <w:rPr>
          <w:rFonts w:ascii="Calibri" w:hAnsi="Calibri" w:cs="Calibri"/>
          <w:color w:val="000000"/>
        </w:rPr>
        <w:t>Donelan</w:t>
      </w:r>
      <w:proofErr w:type="spellEnd"/>
      <w:r w:rsidRPr="00757403">
        <w:rPr>
          <w:rFonts w:ascii="Calibri" w:hAnsi="Calibri" w:cs="Calibri"/>
          <w:color w:val="000000"/>
        </w:rPr>
        <w:t xml:space="preserve"> K, Ulrich BT, Norman L, </w:t>
      </w:r>
      <w:proofErr w:type="spellStart"/>
      <w:r w:rsidRPr="00757403">
        <w:rPr>
          <w:rFonts w:ascii="Calibri" w:hAnsi="Calibri" w:cs="Calibri"/>
          <w:color w:val="000000"/>
        </w:rPr>
        <w:t>DesRoches</w:t>
      </w:r>
      <w:proofErr w:type="spellEnd"/>
      <w:r w:rsidRPr="00757403">
        <w:rPr>
          <w:rFonts w:ascii="Calibri" w:hAnsi="Calibri" w:cs="Calibri"/>
          <w:color w:val="000000"/>
        </w:rPr>
        <w:t xml:space="preserve"> C, </w:t>
      </w:r>
      <w:proofErr w:type="spellStart"/>
      <w:r w:rsidRPr="00757403">
        <w:rPr>
          <w:rFonts w:ascii="Calibri" w:hAnsi="Calibri" w:cs="Calibri"/>
          <w:color w:val="000000"/>
        </w:rPr>
        <w:t>Dittus</w:t>
      </w:r>
      <w:proofErr w:type="spellEnd"/>
      <w:r w:rsidRPr="00757403">
        <w:rPr>
          <w:rFonts w:ascii="Calibri" w:hAnsi="Calibri" w:cs="Calibri"/>
          <w:color w:val="000000"/>
        </w:rPr>
        <w:t xml:space="preserve"> R: Impact</w:t>
      </w:r>
      <w:r w:rsidR="00D70704" w:rsidRPr="00757403">
        <w:rPr>
          <w:rFonts w:ascii="Calibri" w:hAnsi="Calibri" w:cs="Calibri"/>
          <w:color w:val="000000"/>
        </w:rPr>
        <w:t xml:space="preserve"> </w:t>
      </w:r>
      <w:r w:rsidRPr="00757403">
        <w:rPr>
          <w:rFonts w:ascii="Calibri" w:hAnsi="Calibri" w:cs="Calibri"/>
          <w:color w:val="000000"/>
        </w:rPr>
        <w:t xml:space="preserve">of the nurse shortage on hospital patient care: comparative perspectives. </w:t>
      </w:r>
      <w:r w:rsidR="00826AE2">
        <w:rPr>
          <w:rFonts w:ascii="Calibri" w:hAnsi="Calibri" w:cs="Calibri"/>
          <w:color w:val="000000"/>
        </w:rPr>
        <w:t xml:space="preserve">Health </w:t>
      </w:r>
      <w:proofErr w:type="spellStart"/>
      <w:r w:rsidR="00826AE2">
        <w:rPr>
          <w:rFonts w:ascii="Calibri" w:hAnsi="Calibri" w:cs="Calibri"/>
          <w:color w:val="000000"/>
        </w:rPr>
        <w:t>Aff</w:t>
      </w:r>
      <w:proofErr w:type="spellEnd"/>
      <w:r w:rsidR="00826AE2">
        <w:rPr>
          <w:rFonts w:ascii="Calibri" w:hAnsi="Calibri" w:cs="Calibri"/>
          <w:color w:val="000000"/>
        </w:rPr>
        <w:t xml:space="preserve"> (Millwood) 2007, 26, </w:t>
      </w:r>
      <w:r w:rsidRPr="00757403">
        <w:rPr>
          <w:rFonts w:ascii="Calibri" w:hAnsi="Calibri" w:cs="Calibri"/>
          <w:color w:val="000000"/>
        </w:rPr>
        <w:t>853-862.</w:t>
      </w:r>
    </w:p>
    <w:p w:rsidR="00D70704" w:rsidRPr="00757403" w:rsidRDefault="00B65D4D" w:rsidP="00A749DD">
      <w:pPr>
        <w:pStyle w:val="Lijstalinea"/>
        <w:numPr>
          <w:ilvl w:val="0"/>
          <w:numId w:val="21"/>
        </w:numPr>
        <w:spacing w:line="480" w:lineRule="auto"/>
        <w:jc w:val="both"/>
      </w:pPr>
      <w:r>
        <w:t>WHO,</w:t>
      </w:r>
      <w:r w:rsidR="00D70704" w:rsidRPr="00757403">
        <w:t xml:space="preserve"> The World Health Report 2006 - working together for health. Geneva, World Health Organization</w:t>
      </w:r>
      <w:r>
        <w:t xml:space="preserve">, 2007, </w:t>
      </w:r>
      <w:r w:rsidRPr="00757403">
        <w:rPr>
          <w:rFonts w:ascii="Calibri" w:hAnsi="Calibri" w:cs="Calibri"/>
          <w:color w:val="000000"/>
        </w:rPr>
        <w:t>Ref Type: Report.</w:t>
      </w:r>
    </w:p>
    <w:p w:rsidR="00B855F8" w:rsidRPr="00757403" w:rsidRDefault="00D70704" w:rsidP="00A749DD">
      <w:pPr>
        <w:pStyle w:val="Lijstalinea"/>
        <w:numPr>
          <w:ilvl w:val="0"/>
          <w:numId w:val="21"/>
        </w:numPr>
        <w:spacing w:line="480" w:lineRule="auto"/>
        <w:jc w:val="both"/>
      </w:pPr>
      <w:r w:rsidRPr="00757403">
        <w:t>Joint Learning Initiat</w:t>
      </w:r>
      <w:r w:rsidR="009072CD">
        <w:t>ive, Human Resources for Health.</w:t>
      </w:r>
      <w:r w:rsidRPr="00757403">
        <w:t xml:space="preserve"> Overcoming the Crisis. Washington, D.C., Communications Development Incorporated; 2004, 1-412.</w:t>
      </w:r>
    </w:p>
    <w:p w:rsidR="00B855F8" w:rsidRPr="00757403" w:rsidRDefault="00B855F8" w:rsidP="00A749DD">
      <w:pPr>
        <w:pStyle w:val="Lijstalinea"/>
        <w:numPr>
          <w:ilvl w:val="0"/>
          <w:numId w:val="21"/>
        </w:numPr>
        <w:spacing w:line="480" w:lineRule="auto"/>
        <w:jc w:val="both"/>
      </w:pPr>
      <w:r w:rsidRPr="00757403">
        <w:rPr>
          <w:rFonts w:ascii="Calibri" w:hAnsi="Calibri" w:cs="Calibri"/>
          <w:color w:val="000000"/>
        </w:rPr>
        <w:t xml:space="preserve">O’Brien-Pallas L, Baumann A, Donner G, Murphy GT, </w:t>
      </w:r>
      <w:proofErr w:type="spellStart"/>
      <w:r w:rsidRPr="00757403">
        <w:rPr>
          <w:rFonts w:ascii="Calibri" w:hAnsi="Calibri" w:cs="Calibri"/>
          <w:color w:val="000000"/>
        </w:rPr>
        <w:t>Lochhaas-Gerlach</w:t>
      </w:r>
      <w:proofErr w:type="spellEnd"/>
      <w:r w:rsidRPr="00757403">
        <w:rPr>
          <w:rFonts w:ascii="Calibri" w:hAnsi="Calibri" w:cs="Calibri"/>
          <w:color w:val="000000"/>
        </w:rPr>
        <w:t xml:space="preserve"> J, </w:t>
      </w:r>
      <w:proofErr w:type="spellStart"/>
      <w:r w:rsidRPr="00757403">
        <w:rPr>
          <w:rFonts w:ascii="Calibri" w:hAnsi="Calibri" w:cs="Calibri"/>
          <w:color w:val="000000"/>
        </w:rPr>
        <w:t>Luba</w:t>
      </w:r>
      <w:proofErr w:type="spellEnd"/>
      <w:r w:rsidRPr="00757403">
        <w:rPr>
          <w:rFonts w:ascii="Calibri" w:hAnsi="Calibri" w:cs="Calibri"/>
          <w:color w:val="000000"/>
        </w:rPr>
        <w:t xml:space="preserve"> M: Forecasting models for human resources in heal</w:t>
      </w:r>
      <w:r w:rsidR="00B65D4D">
        <w:rPr>
          <w:rFonts w:ascii="Calibri" w:hAnsi="Calibri" w:cs="Calibri"/>
          <w:color w:val="000000"/>
        </w:rPr>
        <w:t xml:space="preserve">th care. J Adv </w:t>
      </w:r>
      <w:proofErr w:type="spellStart"/>
      <w:r w:rsidR="00B65D4D">
        <w:rPr>
          <w:rFonts w:ascii="Calibri" w:hAnsi="Calibri" w:cs="Calibri"/>
          <w:color w:val="000000"/>
        </w:rPr>
        <w:t>Nurs</w:t>
      </w:r>
      <w:proofErr w:type="spellEnd"/>
      <w:r w:rsidR="00B65D4D">
        <w:rPr>
          <w:rFonts w:ascii="Calibri" w:hAnsi="Calibri" w:cs="Calibri"/>
          <w:color w:val="000000"/>
        </w:rPr>
        <w:t xml:space="preserve"> 2001, 33, </w:t>
      </w:r>
      <w:r w:rsidRPr="00757403">
        <w:rPr>
          <w:rFonts w:ascii="Calibri" w:hAnsi="Calibri" w:cs="Calibri"/>
          <w:color w:val="000000"/>
        </w:rPr>
        <w:t>120-129.</w:t>
      </w:r>
    </w:p>
    <w:p w:rsidR="00757403" w:rsidRPr="00757403" w:rsidRDefault="00B855F8" w:rsidP="00A749DD">
      <w:pPr>
        <w:pStyle w:val="Lijstalinea"/>
        <w:numPr>
          <w:ilvl w:val="0"/>
          <w:numId w:val="21"/>
        </w:numPr>
        <w:spacing w:line="480" w:lineRule="auto"/>
        <w:jc w:val="both"/>
      </w:pPr>
      <w:proofErr w:type="spellStart"/>
      <w:r w:rsidRPr="00757403">
        <w:rPr>
          <w:rFonts w:ascii="Calibri" w:hAnsi="Calibri" w:cs="Calibri"/>
          <w:color w:val="000000"/>
        </w:rPr>
        <w:t>Dreesch</w:t>
      </w:r>
      <w:proofErr w:type="spellEnd"/>
      <w:r w:rsidRPr="00757403">
        <w:rPr>
          <w:rFonts w:ascii="Calibri" w:hAnsi="Calibri" w:cs="Calibri"/>
          <w:color w:val="000000"/>
        </w:rPr>
        <w:t xml:space="preserve"> N, </w:t>
      </w:r>
      <w:proofErr w:type="spellStart"/>
      <w:r w:rsidRPr="00757403">
        <w:rPr>
          <w:rFonts w:ascii="Calibri" w:hAnsi="Calibri" w:cs="Calibri"/>
          <w:color w:val="000000"/>
        </w:rPr>
        <w:t>Dolea</w:t>
      </w:r>
      <w:proofErr w:type="spellEnd"/>
      <w:r w:rsidRPr="00757403">
        <w:rPr>
          <w:rFonts w:ascii="Calibri" w:hAnsi="Calibri" w:cs="Calibri"/>
          <w:color w:val="000000"/>
        </w:rPr>
        <w:t xml:space="preserve"> C, </w:t>
      </w:r>
      <w:proofErr w:type="spellStart"/>
      <w:r w:rsidRPr="00757403">
        <w:rPr>
          <w:rFonts w:ascii="Calibri" w:hAnsi="Calibri" w:cs="Calibri"/>
          <w:color w:val="000000"/>
        </w:rPr>
        <w:t>DalPoz</w:t>
      </w:r>
      <w:proofErr w:type="spellEnd"/>
      <w:r w:rsidRPr="00757403">
        <w:rPr>
          <w:rFonts w:ascii="Calibri" w:hAnsi="Calibri" w:cs="Calibri"/>
          <w:color w:val="000000"/>
        </w:rPr>
        <w:t xml:space="preserve"> MR, </w:t>
      </w:r>
      <w:proofErr w:type="spellStart"/>
      <w:r w:rsidRPr="00757403">
        <w:rPr>
          <w:rFonts w:ascii="Calibri" w:hAnsi="Calibri" w:cs="Calibri"/>
          <w:color w:val="000000"/>
        </w:rPr>
        <w:t>Goubarev</w:t>
      </w:r>
      <w:proofErr w:type="spellEnd"/>
      <w:r w:rsidRPr="00757403">
        <w:rPr>
          <w:rFonts w:ascii="Calibri" w:hAnsi="Calibri" w:cs="Calibri"/>
          <w:color w:val="000000"/>
        </w:rPr>
        <w:t xml:space="preserve"> A, Adams </w:t>
      </w:r>
      <w:proofErr w:type="spellStart"/>
      <w:r w:rsidRPr="00757403">
        <w:rPr>
          <w:rFonts w:ascii="Calibri" w:hAnsi="Calibri" w:cs="Calibri"/>
          <w:color w:val="000000"/>
        </w:rPr>
        <w:t>O,Aregawi</w:t>
      </w:r>
      <w:proofErr w:type="spellEnd"/>
      <w:r w:rsidRPr="00757403">
        <w:rPr>
          <w:rFonts w:ascii="Calibri" w:hAnsi="Calibri" w:cs="Calibri"/>
          <w:color w:val="000000"/>
        </w:rPr>
        <w:t xml:space="preserve"> M, Bergstrom K, </w:t>
      </w:r>
      <w:proofErr w:type="spellStart"/>
      <w:r w:rsidRPr="00757403">
        <w:rPr>
          <w:rFonts w:ascii="Calibri" w:hAnsi="Calibri" w:cs="Calibri"/>
          <w:color w:val="000000"/>
        </w:rPr>
        <w:t>Fogstad</w:t>
      </w:r>
      <w:proofErr w:type="spellEnd"/>
      <w:r w:rsidRPr="00757403">
        <w:rPr>
          <w:rFonts w:ascii="Calibri" w:hAnsi="Calibri" w:cs="Calibri"/>
          <w:color w:val="000000"/>
        </w:rPr>
        <w:t xml:space="preserve"> H, </w:t>
      </w:r>
      <w:proofErr w:type="spellStart"/>
      <w:r w:rsidRPr="00757403">
        <w:rPr>
          <w:rFonts w:ascii="Calibri" w:hAnsi="Calibri" w:cs="Calibri"/>
          <w:color w:val="000000"/>
        </w:rPr>
        <w:t>Sheratt</w:t>
      </w:r>
      <w:proofErr w:type="spellEnd"/>
      <w:r w:rsidRPr="00757403">
        <w:rPr>
          <w:rFonts w:ascii="Calibri" w:hAnsi="Calibri" w:cs="Calibri"/>
          <w:color w:val="000000"/>
        </w:rPr>
        <w:t xml:space="preserve"> D, </w:t>
      </w:r>
      <w:proofErr w:type="spellStart"/>
      <w:r w:rsidRPr="00757403">
        <w:rPr>
          <w:rFonts w:ascii="Calibri" w:hAnsi="Calibri" w:cs="Calibri"/>
          <w:color w:val="000000"/>
        </w:rPr>
        <w:t>Linkins</w:t>
      </w:r>
      <w:proofErr w:type="spellEnd"/>
      <w:r w:rsidR="00B65D4D">
        <w:rPr>
          <w:rFonts w:ascii="Calibri" w:hAnsi="Calibri" w:cs="Calibri"/>
          <w:color w:val="000000"/>
        </w:rPr>
        <w:t xml:space="preserve"> J, </w:t>
      </w:r>
      <w:proofErr w:type="spellStart"/>
      <w:r w:rsidR="00B65D4D">
        <w:rPr>
          <w:rFonts w:ascii="Calibri" w:hAnsi="Calibri" w:cs="Calibri"/>
          <w:color w:val="000000"/>
        </w:rPr>
        <w:t>Scherpbier</w:t>
      </w:r>
      <w:proofErr w:type="spellEnd"/>
      <w:r w:rsidR="00B65D4D">
        <w:rPr>
          <w:rFonts w:ascii="Calibri" w:hAnsi="Calibri" w:cs="Calibri"/>
          <w:color w:val="000000"/>
        </w:rPr>
        <w:t xml:space="preserve"> R, </w:t>
      </w:r>
      <w:proofErr w:type="spellStart"/>
      <w:r w:rsidR="00B65D4D">
        <w:rPr>
          <w:rFonts w:ascii="Calibri" w:hAnsi="Calibri" w:cs="Calibri"/>
          <w:color w:val="000000"/>
        </w:rPr>
        <w:t>Youssef</w:t>
      </w:r>
      <w:proofErr w:type="spellEnd"/>
      <w:r w:rsidR="00B65D4D">
        <w:rPr>
          <w:rFonts w:ascii="Calibri" w:hAnsi="Calibri" w:cs="Calibri"/>
          <w:color w:val="000000"/>
        </w:rPr>
        <w:t xml:space="preserve"> Fox M. </w:t>
      </w:r>
      <w:r w:rsidRPr="00757403">
        <w:rPr>
          <w:rFonts w:ascii="Calibri" w:hAnsi="Calibri" w:cs="Calibri"/>
          <w:color w:val="000000"/>
        </w:rPr>
        <w:t>An approach to estimating human resource requirements to achieve the Millennium Development Goa</w:t>
      </w:r>
      <w:r w:rsidR="00B65D4D">
        <w:rPr>
          <w:rFonts w:ascii="Calibri" w:hAnsi="Calibri" w:cs="Calibri"/>
          <w:color w:val="000000"/>
        </w:rPr>
        <w:t xml:space="preserve">ls. Health Policy Plan 2005, 20, </w:t>
      </w:r>
      <w:r w:rsidRPr="00757403">
        <w:rPr>
          <w:rFonts w:ascii="Calibri" w:hAnsi="Calibri" w:cs="Calibri"/>
          <w:color w:val="000000"/>
        </w:rPr>
        <w:t>267-276.</w:t>
      </w:r>
    </w:p>
    <w:p w:rsidR="00757403" w:rsidRDefault="00855B30" w:rsidP="00A749DD">
      <w:pPr>
        <w:pStyle w:val="Lijstalinea"/>
        <w:numPr>
          <w:ilvl w:val="0"/>
          <w:numId w:val="21"/>
        </w:numPr>
        <w:spacing w:line="480" w:lineRule="auto"/>
        <w:jc w:val="both"/>
      </w:pPr>
      <w:r w:rsidRPr="00757403">
        <w:t>Aiken LH, Clarke SP, Sl</w:t>
      </w:r>
      <w:r w:rsidR="009072CD">
        <w:t xml:space="preserve">oane DM, </w:t>
      </w:r>
      <w:proofErr w:type="spellStart"/>
      <w:r w:rsidR="009072CD">
        <w:t>Sochalski</w:t>
      </w:r>
      <w:proofErr w:type="spellEnd"/>
      <w:r w:rsidR="009072CD">
        <w:t xml:space="preserve"> J, Silber JH.</w:t>
      </w:r>
      <w:r w:rsidRPr="00757403">
        <w:t xml:space="preserve"> Hospital nurse staffing and patient mortality, nurse burnout, and job </w:t>
      </w:r>
      <w:r w:rsidR="00B65D4D">
        <w:t xml:space="preserve">dissatisfaction. JAMA 2002, 288, </w:t>
      </w:r>
      <w:r w:rsidRPr="00757403">
        <w:t>1987-199</w:t>
      </w:r>
    </w:p>
    <w:p w:rsidR="00757403" w:rsidRDefault="00855B30" w:rsidP="00A749DD">
      <w:pPr>
        <w:pStyle w:val="Lijstalinea"/>
        <w:numPr>
          <w:ilvl w:val="0"/>
          <w:numId w:val="21"/>
        </w:numPr>
        <w:spacing w:line="480" w:lineRule="auto"/>
        <w:jc w:val="both"/>
      </w:pPr>
      <w:r w:rsidRPr="00757403">
        <w:t xml:space="preserve">Aiken, LH, Clarke, SP, Cheung, RB, Sloane, DM, &amp; Silber, JH. </w:t>
      </w:r>
      <w:r w:rsidRPr="00136830">
        <w:t>Educational levels of hospital nurses and surgical patient mortality.</w:t>
      </w:r>
      <w:r w:rsidRPr="00757403">
        <w:rPr>
          <w:iCs/>
        </w:rPr>
        <w:t xml:space="preserve"> </w:t>
      </w:r>
      <w:r w:rsidR="009072CD">
        <w:rPr>
          <w:iCs/>
        </w:rPr>
        <w:t>JAMA 2003</w:t>
      </w:r>
      <w:r w:rsidRPr="00757403">
        <w:rPr>
          <w:iCs/>
        </w:rPr>
        <w:t>, 290,</w:t>
      </w:r>
      <w:r w:rsidRPr="00136830">
        <w:t xml:space="preserve"> 1617-1623.</w:t>
      </w:r>
    </w:p>
    <w:p w:rsidR="00757403" w:rsidRPr="00826AE2" w:rsidRDefault="00755EB8" w:rsidP="00A749DD">
      <w:pPr>
        <w:pStyle w:val="Lijstalinea"/>
        <w:numPr>
          <w:ilvl w:val="0"/>
          <w:numId w:val="21"/>
        </w:numPr>
        <w:spacing w:line="480" w:lineRule="auto"/>
        <w:jc w:val="both"/>
      </w:pPr>
      <w:r w:rsidRPr="00826AE2">
        <w:lastRenderedPageBreak/>
        <w:t xml:space="preserve">Aiken LH, </w:t>
      </w:r>
      <w:proofErr w:type="spellStart"/>
      <w:r w:rsidRPr="00826AE2">
        <w:t>Cimiotti</w:t>
      </w:r>
      <w:proofErr w:type="spellEnd"/>
      <w:r w:rsidRPr="00826AE2">
        <w:t xml:space="preserve"> JP, Sloane DM, Smith HL, Flynn L, Neff DF. Effects of nurse staffing and nurse education on patient deaths in hospital with different nurse work environments.</w:t>
      </w:r>
      <w:r w:rsidR="00793A3F" w:rsidRPr="00826AE2">
        <w:t xml:space="preserve"> Med Care 2011</w:t>
      </w:r>
      <w:r w:rsidR="00826AE2" w:rsidRPr="00826AE2">
        <w:t>, 49(12) 1047-1053.</w:t>
      </w:r>
    </w:p>
    <w:p w:rsidR="00757403" w:rsidRDefault="00855B30" w:rsidP="00A749DD">
      <w:pPr>
        <w:pStyle w:val="Lijstalinea"/>
        <w:numPr>
          <w:ilvl w:val="0"/>
          <w:numId w:val="21"/>
        </w:numPr>
        <w:spacing w:line="480" w:lineRule="auto"/>
        <w:jc w:val="both"/>
      </w:pPr>
      <w:r w:rsidRPr="00757403">
        <w:t xml:space="preserve">Kane RL, </w:t>
      </w:r>
      <w:proofErr w:type="spellStart"/>
      <w:r w:rsidRPr="00757403">
        <w:t>Shamliyan</w:t>
      </w:r>
      <w:proofErr w:type="spellEnd"/>
      <w:r w:rsidRPr="00757403">
        <w:t xml:space="preserve"> </w:t>
      </w:r>
      <w:r w:rsidR="009072CD">
        <w:t>TA, Mueller C, Duval S, Wilt TJ.</w:t>
      </w:r>
      <w:r w:rsidRPr="00757403">
        <w:t xml:space="preserve"> The association of registered nurse staffing levels and patient outcomes: systematic review and meta-analysis</w:t>
      </w:r>
      <w:r w:rsidR="009072CD">
        <w:t xml:space="preserve">. Med Care 2007, 45, </w:t>
      </w:r>
      <w:r w:rsidRPr="00757403">
        <w:t xml:space="preserve">1195-1204. </w:t>
      </w:r>
    </w:p>
    <w:p w:rsidR="00757403" w:rsidRDefault="00855B30" w:rsidP="00A749DD">
      <w:pPr>
        <w:pStyle w:val="Lijstalinea"/>
        <w:numPr>
          <w:ilvl w:val="0"/>
          <w:numId w:val="21"/>
        </w:numPr>
        <w:spacing w:line="480" w:lineRule="auto"/>
        <w:jc w:val="both"/>
      </w:pPr>
      <w:r w:rsidRPr="00757403">
        <w:t xml:space="preserve">Needleman J, </w:t>
      </w:r>
      <w:proofErr w:type="spellStart"/>
      <w:r w:rsidRPr="00757403">
        <w:t>Buerhaus</w:t>
      </w:r>
      <w:proofErr w:type="spellEnd"/>
      <w:r w:rsidRPr="00757403">
        <w:t xml:space="preserve"> P, </w:t>
      </w:r>
      <w:proofErr w:type="spellStart"/>
      <w:r w:rsidRPr="00757403">
        <w:t>Mattke</w:t>
      </w:r>
      <w:proofErr w:type="spellEnd"/>
      <w:r w:rsidRPr="00757403">
        <w:t xml:space="preserve"> S, Stewart M, </w:t>
      </w:r>
      <w:proofErr w:type="spellStart"/>
      <w:r w:rsidRPr="00757403">
        <w:t>Zelevinsky</w:t>
      </w:r>
      <w:proofErr w:type="spellEnd"/>
      <w:r w:rsidRPr="00757403">
        <w:t xml:space="preserve"> K</w:t>
      </w:r>
      <w:r w:rsidR="009072CD">
        <w:t>.</w:t>
      </w:r>
      <w:r w:rsidRPr="00757403">
        <w:t xml:space="preserve"> Nurse-staffing levels and the quality of care in ho</w:t>
      </w:r>
      <w:r w:rsidR="009072CD">
        <w:t xml:space="preserve">spitals. N </w:t>
      </w:r>
      <w:proofErr w:type="spellStart"/>
      <w:r w:rsidR="009072CD">
        <w:t>Engl</w:t>
      </w:r>
      <w:proofErr w:type="spellEnd"/>
      <w:r w:rsidR="009072CD">
        <w:t xml:space="preserve"> J Med 2002, 346, </w:t>
      </w:r>
      <w:r w:rsidRPr="00757403">
        <w:t>1715-1722</w:t>
      </w:r>
      <w:r w:rsidR="009072CD">
        <w:t>.</w:t>
      </w:r>
    </w:p>
    <w:p w:rsidR="00757403" w:rsidRDefault="00855B30" w:rsidP="00A749DD">
      <w:pPr>
        <w:pStyle w:val="Lijstalinea"/>
        <w:numPr>
          <w:ilvl w:val="0"/>
          <w:numId w:val="21"/>
        </w:numPr>
        <w:spacing w:line="480" w:lineRule="auto"/>
        <w:jc w:val="both"/>
      </w:pPr>
      <w:r w:rsidRPr="00757403">
        <w:t xml:space="preserve">Needleman J, </w:t>
      </w:r>
      <w:proofErr w:type="spellStart"/>
      <w:r w:rsidRPr="00757403">
        <w:t>Buerhaus</w:t>
      </w:r>
      <w:proofErr w:type="spellEnd"/>
      <w:r w:rsidRPr="00757403">
        <w:t xml:space="preserve"> P, </w:t>
      </w:r>
      <w:proofErr w:type="spellStart"/>
      <w:r w:rsidRPr="00757403">
        <w:t>Pankratz</w:t>
      </w:r>
      <w:proofErr w:type="spellEnd"/>
      <w:r w:rsidRPr="00757403">
        <w:t xml:space="preserve"> VS, </w:t>
      </w:r>
      <w:proofErr w:type="spellStart"/>
      <w:r w:rsidRPr="00757403">
        <w:t>Leibson</w:t>
      </w:r>
      <w:proofErr w:type="spellEnd"/>
      <w:r w:rsidRPr="00757403">
        <w:t xml:space="preserve"> CL, Stevens SR, Harris M.</w:t>
      </w:r>
      <w:r w:rsidR="003C270B">
        <w:t xml:space="preserve"> </w:t>
      </w:r>
      <w:r w:rsidRPr="00136830">
        <w:t xml:space="preserve">Nurse staffing and inpatient hospital mortality. N </w:t>
      </w:r>
      <w:proofErr w:type="spellStart"/>
      <w:r w:rsidRPr="00136830">
        <w:t>Engl</w:t>
      </w:r>
      <w:proofErr w:type="spellEnd"/>
      <w:r w:rsidRPr="00136830">
        <w:t xml:space="preserve"> J Med</w:t>
      </w:r>
      <w:r w:rsidR="003C270B">
        <w:t xml:space="preserve"> 2011</w:t>
      </w:r>
      <w:r w:rsidRPr="00136830">
        <w:t>, 364, 1037-1045.</w:t>
      </w:r>
    </w:p>
    <w:p w:rsidR="00757403" w:rsidRDefault="00855B30" w:rsidP="00A749DD">
      <w:pPr>
        <w:pStyle w:val="Lijstalinea"/>
        <w:numPr>
          <w:ilvl w:val="0"/>
          <w:numId w:val="21"/>
        </w:numPr>
        <w:spacing w:line="480" w:lineRule="auto"/>
        <w:jc w:val="both"/>
      </w:pPr>
      <w:r w:rsidRPr="00757403">
        <w:t>Rafferty AM, Clarke SP, Coles J, Ball</w:t>
      </w:r>
      <w:r w:rsidR="003C270B">
        <w:t xml:space="preserve"> J, James P, McKee M, Aiken LH. </w:t>
      </w:r>
      <w:r w:rsidRPr="00757403">
        <w:t>Outcomes of variation in hospital nurse staffing in English hospitals: cross-sectional analysis of survey data and discharge re</w:t>
      </w:r>
      <w:r w:rsidR="003C270B">
        <w:t xml:space="preserve">cords. </w:t>
      </w:r>
      <w:proofErr w:type="spellStart"/>
      <w:r w:rsidR="003C270B">
        <w:t>Int</w:t>
      </w:r>
      <w:proofErr w:type="spellEnd"/>
      <w:r w:rsidR="003C270B">
        <w:t xml:space="preserve"> J </w:t>
      </w:r>
      <w:proofErr w:type="spellStart"/>
      <w:r w:rsidR="003C270B">
        <w:t>Nurs</w:t>
      </w:r>
      <w:proofErr w:type="spellEnd"/>
      <w:r w:rsidR="003C270B">
        <w:t xml:space="preserve"> Stud 2007, 44, </w:t>
      </w:r>
      <w:r w:rsidRPr="00757403">
        <w:t>175-182.</w:t>
      </w:r>
    </w:p>
    <w:p w:rsidR="00757403" w:rsidRDefault="00855B30" w:rsidP="00A749DD">
      <w:pPr>
        <w:pStyle w:val="Lijstalinea"/>
        <w:numPr>
          <w:ilvl w:val="0"/>
          <w:numId w:val="21"/>
        </w:numPr>
        <w:spacing w:line="480" w:lineRule="auto"/>
        <w:jc w:val="both"/>
      </w:pPr>
      <w:r w:rsidRPr="00757403">
        <w:t xml:space="preserve">Van den Heede K, Lesaffre E, </w:t>
      </w:r>
      <w:proofErr w:type="spellStart"/>
      <w:r w:rsidRPr="00757403">
        <w:t>Diya</w:t>
      </w:r>
      <w:proofErr w:type="spellEnd"/>
      <w:r w:rsidRPr="00757403">
        <w:t xml:space="preserve"> L, Vleugels A,</w:t>
      </w:r>
      <w:r w:rsidR="003C270B">
        <w:t xml:space="preserve"> Clarke SP, Aiken LH, Sermeus W.</w:t>
      </w:r>
      <w:r w:rsidRPr="00757403">
        <w:t xml:space="preserve"> The relationship between inpatient cardiac surgery mortality and nurse numbers and educational level: analysis of administrative</w:t>
      </w:r>
      <w:r w:rsidR="003C270B">
        <w:t xml:space="preserve"> data. </w:t>
      </w:r>
      <w:proofErr w:type="spellStart"/>
      <w:r w:rsidR="003C270B">
        <w:t>Int</w:t>
      </w:r>
      <w:proofErr w:type="spellEnd"/>
      <w:r w:rsidR="003C270B">
        <w:t xml:space="preserve"> J </w:t>
      </w:r>
      <w:proofErr w:type="spellStart"/>
      <w:r w:rsidR="003C270B">
        <w:t>Nurs</w:t>
      </w:r>
      <w:proofErr w:type="spellEnd"/>
      <w:r w:rsidR="003C270B">
        <w:t xml:space="preserve"> Stud 2009, 46, </w:t>
      </w:r>
      <w:r w:rsidRPr="00757403">
        <w:t>796-803.</w:t>
      </w:r>
    </w:p>
    <w:p w:rsidR="00757403" w:rsidRPr="00757403" w:rsidRDefault="00855B30" w:rsidP="00A749DD">
      <w:pPr>
        <w:pStyle w:val="Lijstalinea"/>
        <w:numPr>
          <w:ilvl w:val="0"/>
          <w:numId w:val="21"/>
        </w:numPr>
        <w:spacing w:line="480" w:lineRule="auto"/>
        <w:jc w:val="both"/>
      </w:pPr>
      <w:r w:rsidRPr="00757403">
        <w:rPr>
          <w:rFonts w:cs="Arial"/>
          <w:lang w:val="nl-BE"/>
        </w:rPr>
        <w:t xml:space="preserve">Sermeus W, Aiken LH, Van den Heede K, Rafferty AM, Griffiths P, </w:t>
      </w:r>
      <w:proofErr w:type="spellStart"/>
      <w:r w:rsidRPr="00757403">
        <w:rPr>
          <w:rFonts w:cs="Arial"/>
          <w:lang w:val="nl-BE"/>
        </w:rPr>
        <w:t>Moreno-Casbas</w:t>
      </w:r>
      <w:proofErr w:type="spellEnd"/>
      <w:r w:rsidRPr="00757403">
        <w:rPr>
          <w:rFonts w:cs="Arial"/>
          <w:lang w:val="nl-BE"/>
        </w:rPr>
        <w:t xml:space="preserve"> MT, </w:t>
      </w:r>
      <w:proofErr w:type="spellStart"/>
      <w:r w:rsidRPr="00757403">
        <w:rPr>
          <w:rFonts w:cs="Arial"/>
          <w:lang w:val="nl-BE"/>
        </w:rPr>
        <w:t>Busse</w:t>
      </w:r>
      <w:proofErr w:type="spellEnd"/>
      <w:r w:rsidRPr="00757403">
        <w:rPr>
          <w:rFonts w:cs="Arial"/>
          <w:lang w:val="nl-BE"/>
        </w:rPr>
        <w:t xml:space="preserve"> et al. </w:t>
      </w:r>
      <w:r w:rsidR="003C270B">
        <w:rPr>
          <w:rFonts w:cs="Arial"/>
        </w:rPr>
        <w:t xml:space="preserve">RN4CAST consortium. </w:t>
      </w:r>
      <w:r w:rsidRPr="00757403">
        <w:rPr>
          <w:rFonts w:cs="Arial"/>
          <w:bdr w:val="none" w:sz="0" w:space="0" w:color="auto" w:frame="1"/>
        </w:rPr>
        <w:t>Nurse forecasting in Europe (RN4CAST): Rationale, design and methodology.</w:t>
      </w:r>
      <w:r w:rsidRPr="00757403">
        <w:rPr>
          <w:rStyle w:val="jrnl"/>
          <w:rFonts w:cs="Arial"/>
          <w:bdr w:val="none" w:sz="0" w:space="0" w:color="auto" w:frame="1"/>
        </w:rPr>
        <w:t>BMC Nursing</w:t>
      </w:r>
      <w:r w:rsidR="003C270B">
        <w:rPr>
          <w:rStyle w:val="jrnl"/>
          <w:rFonts w:cs="Arial"/>
          <w:bdr w:val="none" w:sz="0" w:space="0" w:color="auto" w:frame="1"/>
        </w:rPr>
        <w:t xml:space="preserve"> 2011</w:t>
      </w:r>
      <w:r w:rsidRPr="00757403">
        <w:rPr>
          <w:rFonts w:cs="Arial"/>
        </w:rPr>
        <w:t>, 18 (6),1-9.</w:t>
      </w:r>
    </w:p>
    <w:p w:rsidR="002420D6" w:rsidRDefault="002420D6" w:rsidP="00945744">
      <w:pPr>
        <w:shd w:val="clear" w:color="auto" w:fill="FFFFFF"/>
        <w:spacing w:after="0" w:line="360" w:lineRule="auto"/>
        <w:jc w:val="both"/>
        <w:rPr>
          <w:rFonts w:eastAsia="Times New Roman" w:cs="Arial"/>
          <w:b/>
          <w:lang w:val="en-US" w:eastAsia="nl-BE"/>
        </w:rPr>
      </w:pPr>
    </w:p>
    <w:p w:rsidR="006D5DF9" w:rsidRDefault="006D5DF9" w:rsidP="00945744">
      <w:pPr>
        <w:shd w:val="clear" w:color="auto" w:fill="FFFFFF"/>
        <w:spacing w:after="0" w:line="360" w:lineRule="auto"/>
        <w:jc w:val="both"/>
        <w:rPr>
          <w:rFonts w:eastAsia="Times New Roman" w:cs="Arial"/>
          <w:b/>
          <w:lang w:val="en-US" w:eastAsia="nl-BE"/>
        </w:rPr>
      </w:pPr>
    </w:p>
    <w:p w:rsidR="006D5DF9" w:rsidRDefault="006D5DF9" w:rsidP="00945744">
      <w:pPr>
        <w:shd w:val="clear" w:color="auto" w:fill="FFFFFF"/>
        <w:spacing w:after="0" w:line="360" w:lineRule="auto"/>
        <w:jc w:val="both"/>
        <w:rPr>
          <w:rFonts w:eastAsia="Times New Roman" w:cs="Arial"/>
          <w:b/>
          <w:lang w:val="en-US" w:eastAsia="nl-BE"/>
        </w:rPr>
      </w:pPr>
    </w:p>
    <w:p w:rsidR="002420D6" w:rsidRDefault="002420D6" w:rsidP="00945744">
      <w:pPr>
        <w:shd w:val="clear" w:color="auto" w:fill="FFFFFF"/>
        <w:spacing w:after="0" w:line="360" w:lineRule="auto"/>
        <w:jc w:val="both"/>
        <w:rPr>
          <w:rFonts w:eastAsia="Times New Roman" w:cs="Arial"/>
          <w:b/>
          <w:lang w:val="en-US" w:eastAsia="nl-BE"/>
        </w:rPr>
      </w:pPr>
    </w:p>
    <w:p w:rsidR="002420D6" w:rsidRDefault="002420D6" w:rsidP="00945744">
      <w:pPr>
        <w:shd w:val="clear" w:color="auto" w:fill="FFFFFF"/>
        <w:spacing w:after="0" w:line="360" w:lineRule="auto"/>
        <w:jc w:val="both"/>
        <w:rPr>
          <w:rFonts w:eastAsia="Times New Roman" w:cs="Arial"/>
          <w:b/>
          <w:lang w:val="en-US" w:eastAsia="nl-BE"/>
        </w:rPr>
      </w:pPr>
    </w:p>
    <w:p w:rsidR="002420D6" w:rsidRDefault="002420D6" w:rsidP="00945744">
      <w:pPr>
        <w:shd w:val="clear" w:color="auto" w:fill="FFFFFF"/>
        <w:spacing w:after="0" w:line="360" w:lineRule="auto"/>
        <w:jc w:val="both"/>
        <w:rPr>
          <w:rFonts w:eastAsia="Times New Roman" w:cs="Arial"/>
          <w:b/>
          <w:lang w:val="en-US" w:eastAsia="nl-BE"/>
        </w:rPr>
      </w:pPr>
    </w:p>
    <w:p w:rsidR="00A749DD" w:rsidRDefault="00A749DD" w:rsidP="00945744">
      <w:pPr>
        <w:shd w:val="clear" w:color="auto" w:fill="FFFFFF"/>
        <w:spacing w:after="0" w:line="360" w:lineRule="auto"/>
        <w:jc w:val="both"/>
        <w:rPr>
          <w:rFonts w:eastAsia="Times New Roman" w:cs="Arial"/>
          <w:b/>
          <w:lang w:val="en-US" w:eastAsia="nl-BE"/>
        </w:rPr>
      </w:pPr>
    </w:p>
    <w:p w:rsidR="00A749DD" w:rsidRDefault="00A749DD" w:rsidP="00945744">
      <w:pPr>
        <w:shd w:val="clear" w:color="auto" w:fill="FFFFFF"/>
        <w:spacing w:after="0" w:line="360" w:lineRule="auto"/>
        <w:jc w:val="both"/>
        <w:rPr>
          <w:rFonts w:eastAsia="Times New Roman" w:cs="Arial"/>
          <w:b/>
          <w:lang w:val="en-US" w:eastAsia="nl-BE"/>
        </w:rPr>
      </w:pPr>
    </w:p>
    <w:p w:rsidR="00A749DD" w:rsidRDefault="00A749DD" w:rsidP="00945744">
      <w:pPr>
        <w:shd w:val="clear" w:color="auto" w:fill="FFFFFF"/>
        <w:spacing w:after="0" w:line="360" w:lineRule="auto"/>
        <w:jc w:val="both"/>
        <w:rPr>
          <w:rFonts w:eastAsia="Times New Roman" w:cs="Arial"/>
          <w:b/>
          <w:lang w:val="en-US" w:eastAsia="nl-BE"/>
        </w:rPr>
      </w:pPr>
    </w:p>
    <w:p w:rsidR="00855B30" w:rsidRDefault="001E4F18" w:rsidP="00A749DD">
      <w:pPr>
        <w:shd w:val="clear" w:color="auto" w:fill="FFFFFF"/>
        <w:spacing w:after="0" w:line="480" w:lineRule="auto"/>
        <w:jc w:val="both"/>
        <w:rPr>
          <w:rFonts w:eastAsia="Times New Roman" w:cs="Arial"/>
          <w:b/>
          <w:lang w:val="en-US" w:eastAsia="nl-BE"/>
        </w:rPr>
      </w:pPr>
      <w:r>
        <w:rPr>
          <w:rFonts w:eastAsia="Times New Roman" w:cs="Arial"/>
          <w:b/>
          <w:lang w:val="en-US" w:eastAsia="nl-BE"/>
        </w:rPr>
        <w:lastRenderedPageBreak/>
        <w:t>D</w:t>
      </w:r>
      <w:r w:rsidR="00855B30" w:rsidRPr="003E42B5">
        <w:rPr>
          <w:rFonts w:eastAsia="Times New Roman" w:cs="Arial"/>
          <w:b/>
          <w:lang w:val="en-US" w:eastAsia="nl-BE"/>
        </w:rPr>
        <w:t>escription of the main S &amp; T results/foregrounds</w:t>
      </w:r>
      <w:r w:rsidR="005E079D">
        <w:rPr>
          <w:rFonts w:eastAsia="Times New Roman" w:cs="Arial"/>
          <w:b/>
          <w:lang w:val="en-US" w:eastAsia="nl-BE"/>
        </w:rPr>
        <w:t xml:space="preserve"> (</w:t>
      </w:r>
      <w:r w:rsidR="00855B30" w:rsidRPr="003E42B5">
        <w:rPr>
          <w:rFonts w:eastAsia="Times New Roman" w:cs="Arial"/>
          <w:b/>
          <w:lang w:val="en-US" w:eastAsia="nl-BE"/>
        </w:rPr>
        <w:t>25 pages</w:t>
      </w:r>
      <w:r w:rsidR="005E079D">
        <w:rPr>
          <w:rFonts w:eastAsia="Times New Roman" w:cs="Arial"/>
          <w:b/>
          <w:lang w:val="en-US" w:eastAsia="nl-BE"/>
        </w:rPr>
        <w:t>)</w:t>
      </w:r>
    </w:p>
    <w:p w:rsidR="00580123" w:rsidRPr="00580123" w:rsidRDefault="00580123" w:rsidP="00A749DD">
      <w:pPr>
        <w:pStyle w:val="Lijstalinea"/>
        <w:numPr>
          <w:ilvl w:val="0"/>
          <w:numId w:val="22"/>
        </w:numPr>
        <w:shd w:val="clear" w:color="auto" w:fill="FFFFFF"/>
        <w:spacing w:after="0" w:line="480" w:lineRule="auto"/>
        <w:jc w:val="both"/>
        <w:rPr>
          <w:rFonts w:eastAsia="Times New Roman" w:cs="Arial"/>
          <w:lang w:eastAsia="nl-BE"/>
        </w:rPr>
      </w:pPr>
      <w:r w:rsidRPr="00580123">
        <w:rPr>
          <w:rFonts w:eastAsia="Times New Roman" w:cs="Arial"/>
          <w:lang w:eastAsia="nl-BE"/>
        </w:rPr>
        <w:t>Methods</w:t>
      </w:r>
    </w:p>
    <w:p w:rsidR="00855B30" w:rsidRPr="00580123" w:rsidRDefault="00580123" w:rsidP="00A749DD">
      <w:pPr>
        <w:pStyle w:val="Lijstalinea"/>
        <w:numPr>
          <w:ilvl w:val="1"/>
          <w:numId w:val="22"/>
        </w:numPr>
        <w:spacing w:line="480" w:lineRule="auto"/>
        <w:jc w:val="both"/>
        <w:rPr>
          <w:lang w:val="en-GB" w:eastAsia="es-ES"/>
        </w:rPr>
      </w:pPr>
      <w:r>
        <w:rPr>
          <w:lang w:val="en-GB" w:eastAsia="es-ES"/>
        </w:rPr>
        <w:t>Design</w:t>
      </w:r>
    </w:p>
    <w:p w:rsidR="00721086" w:rsidRPr="00BD0386" w:rsidRDefault="003E42B5" w:rsidP="00A749DD">
      <w:pPr>
        <w:spacing w:line="480" w:lineRule="auto"/>
        <w:jc w:val="both"/>
        <w:rPr>
          <w:rFonts w:cs="Arial"/>
          <w:lang w:val="en-GB"/>
        </w:rPr>
      </w:pPr>
      <w:r w:rsidRPr="003E42B5">
        <w:rPr>
          <w:lang w:val="en-US"/>
        </w:rPr>
        <w:t>This 3-year project involve</w:t>
      </w:r>
      <w:r w:rsidR="00585FD4">
        <w:rPr>
          <w:lang w:val="en-US"/>
        </w:rPr>
        <w:t>d</w:t>
      </w:r>
      <w:r w:rsidRPr="003E42B5">
        <w:rPr>
          <w:lang w:val="en-US"/>
        </w:rPr>
        <w:t xml:space="preserve"> two major phases. The first phase of the project (January 2009 - June 2010) focuse</w:t>
      </w:r>
      <w:r w:rsidR="00585FD4">
        <w:rPr>
          <w:lang w:val="en-US"/>
        </w:rPr>
        <w:t>d</w:t>
      </w:r>
      <w:r w:rsidRPr="003E42B5">
        <w:rPr>
          <w:lang w:val="en-US"/>
        </w:rPr>
        <w:t xml:space="preserve"> on</w:t>
      </w:r>
      <w:r w:rsidRPr="00136830">
        <w:rPr>
          <w:lang w:val="en-US"/>
        </w:rPr>
        <w:t xml:space="preserve"> instrument development, instrument validation and data collection. </w:t>
      </w:r>
      <w:r w:rsidR="0021714B">
        <w:rPr>
          <w:lang w:val="en-GB"/>
        </w:rPr>
        <w:t>We</w:t>
      </w:r>
      <w:r w:rsidR="00A74432" w:rsidRPr="004D35DA">
        <w:rPr>
          <w:lang w:val="en-GB"/>
        </w:rPr>
        <w:t xml:space="preserve"> favoured a rigorous quantitative multi-country </w:t>
      </w:r>
      <w:r w:rsidR="00A74432">
        <w:rPr>
          <w:lang w:val="en-GB"/>
        </w:rPr>
        <w:t>cross-sectional design</w:t>
      </w:r>
      <w:r w:rsidR="00A74432" w:rsidRPr="004D35DA">
        <w:rPr>
          <w:lang w:val="en-GB"/>
        </w:rPr>
        <w:t xml:space="preserve"> on the basis of research methods used in a five-nation </w:t>
      </w:r>
      <w:r w:rsidR="00A74432" w:rsidRPr="00182DB1">
        <w:rPr>
          <w:lang w:val="en-GB"/>
        </w:rPr>
        <w:t xml:space="preserve">study of critical issues in nurse staffing and the impact on patient care </w:t>
      </w:r>
      <w:r w:rsidR="0021714B">
        <w:rPr>
          <w:lang w:val="en-GB"/>
        </w:rPr>
        <w:t xml:space="preserve">[1]. </w:t>
      </w:r>
      <w:r w:rsidR="0021714B">
        <w:rPr>
          <w:lang w:val="en-GB" w:eastAsia="es-ES"/>
        </w:rPr>
        <w:t>The</w:t>
      </w:r>
      <w:r w:rsidR="0021714B" w:rsidRPr="00136830">
        <w:rPr>
          <w:lang w:val="en-GB" w:eastAsia="es-ES"/>
        </w:rPr>
        <w:t xml:space="preserve"> data requirements and options of data acquirement were specified in an overall data collection protocol. This way of standardizing data collection procedures and instruments enabled comparability of measures across sites and facilitated cross-country analyses. </w:t>
      </w:r>
      <w:r w:rsidR="00BD0386" w:rsidRPr="00136830">
        <w:rPr>
          <w:lang w:val="en-GB" w:eastAsia="es-ES"/>
        </w:rPr>
        <w:t>Also during the first half of the project, we appraised and evaluated the current models and methods used in health care human resources planning in nursing. A</w:t>
      </w:r>
      <w:r w:rsidR="00BD0386" w:rsidRPr="00136830">
        <w:rPr>
          <w:lang w:val="en-GB"/>
        </w:rPr>
        <w:t xml:space="preserve"> two-s</w:t>
      </w:r>
      <w:r w:rsidR="00BD0386">
        <w:rPr>
          <w:lang w:val="en-GB"/>
        </w:rPr>
        <w:t>tep</w:t>
      </w:r>
      <w:r w:rsidR="00BD0386" w:rsidRPr="00136830">
        <w:rPr>
          <w:lang w:val="en-GB"/>
        </w:rPr>
        <w:t xml:space="preserve"> approach was followed. The first </w:t>
      </w:r>
      <w:r w:rsidR="00BD0386">
        <w:rPr>
          <w:lang w:val="en-GB"/>
        </w:rPr>
        <w:t>step</w:t>
      </w:r>
      <w:r w:rsidR="00BD0386" w:rsidRPr="00136830">
        <w:rPr>
          <w:lang w:val="en-GB"/>
        </w:rPr>
        <w:t xml:space="preserve"> included a comprehensive literature review to identify the available sources describing the use of current models in human resource planning in nursing. T</w:t>
      </w:r>
      <w:r w:rsidR="00BD0386" w:rsidRPr="00136830">
        <w:rPr>
          <w:rFonts w:cs="Arial"/>
          <w:lang w:val="en-GB"/>
        </w:rPr>
        <w:t xml:space="preserve">he data were collected from international databases. Additional country specific data were retrieved from the grey literature. The research teams in each country contacted institutions and stakeholders to obtain published and unpublished data and reports about forecasting models. The second </w:t>
      </w:r>
      <w:r w:rsidR="00BD0386">
        <w:rPr>
          <w:rFonts w:cs="Arial"/>
          <w:lang w:val="en-GB"/>
        </w:rPr>
        <w:t>step</w:t>
      </w:r>
      <w:r w:rsidR="00BD0386" w:rsidRPr="00136830">
        <w:rPr>
          <w:rFonts w:cs="Arial"/>
          <w:lang w:val="en-GB"/>
        </w:rPr>
        <w:t xml:space="preserve"> produced a template for data collection of data about demand and supply factors.</w:t>
      </w:r>
      <w:r w:rsidR="00BD0386">
        <w:rPr>
          <w:rFonts w:cs="Arial"/>
          <w:lang w:val="en-GB"/>
        </w:rPr>
        <w:t xml:space="preserve"> </w:t>
      </w:r>
      <w:r w:rsidR="00BD0386">
        <w:rPr>
          <w:rFonts w:cs="Arial"/>
          <w:lang w:val="en-GB"/>
        </w:rPr>
        <w:tab/>
      </w:r>
      <w:r w:rsidR="00BD0386">
        <w:rPr>
          <w:rFonts w:cs="Arial"/>
          <w:lang w:val="en-GB"/>
        </w:rPr>
        <w:br/>
      </w:r>
      <w:r w:rsidRPr="00136830">
        <w:rPr>
          <w:lang w:val="en-GB" w:eastAsia="es-ES"/>
        </w:rPr>
        <w:t xml:space="preserve">The second phase of the project </w:t>
      </w:r>
      <w:r w:rsidRPr="00136830">
        <w:rPr>
          <w:lang w:val="en-US"/>
        </w:rPr>
        <w:t xml:space="preserve">(July 2010 - December 2011) </w:t>
      </w:r>
      <w:r w:rsidR="00B96982">
        <w:rPr>
          <w:lang w:val="en-GB" w:eastAsia="es-ES"/>
        </w:rPr>
        <w:t>focused</w:t>
      </w:r>
      <w:r w:rsidRPr="00136830">
        <w:rPr>
          <w:lang w:val="en-GB" w:eastAsia="es-ES"/>
        </w:rPr>
        <w:t xml:space="preserve"> on data analysis and policy synthesis. </w:t>
      </w:r>
    </w:p>
    <w:p w:rsidR="00721086" w:rsidRPr="00721086" w:rsidRDefault="00721086" w:rsidP="00A749DD">
      <w:pPr>
        <w:pStyle w:val="Lijstalinea"/>
        <w:numPr>
          <w:ilvl w:val="1"/>
          <w:numId w:val="22"/>
        </w:numPr>
        <w:spacing w:line="480" w:lineRule="auto"/>
        <w:jc w:val="both"/>
      </w:pPr>
      <w:r>
        <w:t>Study sample</w:t>
      </w:r>
    </w:p>
    <w:p w:rsidR="00C97623" w:rsidRPr="00136830" w:rsidRDefault="00A74432" w:rsidP="00A749DD">
      <w:pPr>
        <w:spacing w:line="480" w:lineRule="auto"/>
        <w:jc w:val="both"/>
        <w:rPr>
          <w:lang w:val="en-US"/>
        </w:rPr>
      </w:pPr>
      <w:r>
        <w:rPr>
          <w:lang w:val="en-US"/>
        </w:rPr>
        <w:t>We</w:t>
      </w:r>
      <w:r w:rsidR="003E42B5" w:rsidRPr="00136830">
        <w:rPr>
          <w:lang w:val="en-US"/>
        </w:rPr>
        <w:t xml:space="preserve"> focused on general acute hospitals (with at least 100 beds) that either ha</w:t>
      </w:r>
      <w:r w:rsidR="00787F01">
        <w:rPr>
          <w:lang w:val="en-US"/>
        </w:rPr>
        <w:t>d</w:t>
      </w:r>
      <w:r w:rsidR="003E42B5" w:rsidRPr="00136830">
        <w:rPr>
          <w:lang w:val="en-US"/>
        </w:rPr>
        <w:t xml:space="preserve"> mixed age clienteles or treat</w:t>
      </w:r>
      <w:r w:rsidR="00787F01">
        <w:rPr>
          <w:lang w:val="en-US"/>
        </w:rPr>
        <w:t>ed</w:t>
      </w:r>
      <w:r w:rsidR="003E42B5" w:rsidRPr="00136830">
        <w:rPr>
          <w:lang w:val="en-US"/>
        </w:rPr>
        <w:t xml:space="preserve"> adults only. This setting was chosen since general acute hospitals are the largest employers of nurses and thus exert major influence on demand for nurses in most countries </w:t>
      </w:r>
      <w:r w:rsidR="00ED6076">
        <w:rPr>
          <w:lang w:val="en-US"/>
        </w:rPr>
        <w:t>[2]</w:t>
      </w:r>
      <w:r w:rsidR="003E42B5" w:rsidRPr="00136830">
        <w:rPr>
          <w:lang w:val="en-US"/>
        </w:rPr>
        <w:t xml:space="preserve">. In addition, general acute hospitals represent the largest share of national health expenditures and are </w:t>
      </w:r>
      <w:r w:rsidR="003E42B5" w:rsidRPr="00136830">
        <w:rPr>
          <w:lang w:val="en-US"/>
        </w:rPr>
        <w:lastRenderedPageBreak/>
        <w:t>the sites of the largest proportion of medical errors leading to serious injury or death</w:t>
      </w:r>
      <w:r w:rsidR="00ED6076">
        <w:rPr>
          <w:lang w:val="en-US"/>
        </w:rPr>
        <w:t xml:space="preserve"> [3]</w:t>
      </w:r>
      <w:r w:rsidR="003E42B5" w:rsidRPr="00136830">
        <w:rPr>
          <w:lang w:val="en-US"/>
        </w:rPr>
        <w:t>. In each of the twelve European countries (except Sweden) a study was conducted in at least 30 hospitals depending upon country size and number of hospitals. The selected hospitals represent either all of the relevant institutions in th</w:t>
      </w:r>
      <w:r w:rsidR="005B40D2">
        <w:rPr>
          <w:lang w:val="en-US"/>
        </w:rPr>
        <w:t>e country (Ireland, Norway) or we</w:t>
      </w:r>
      <w:r w:rsidR="003E42B5" w:rsidRPr="00136830">
        <w:rPr>
          <w:lang w:val="en-US"/>
        </w:rPr>
        <w:t>re randomly selected, per country, from a registry of all general non-specialized hospitals. In Belgium, Germany, The Netherlands, Switzerland, England and Spain this selection was done at random</w:t>
      </w:r>
      <w:r w:rsidR="00736768">
        <w:rPr>
          <w:lang w:val="en-US"/>
        </w:rPr>
        <w:t>/quota</w:t>
      </w:r>
      <w:r w:rsidR="003E42B5" w:rsidRPr="00136830">
        <w:rPr>
          <w:lang w:val="en-US"/>
        </w:rPr>
        <w:t xml:space="preserve"> within strata (geographical location within the countries, hospital size, and hospital type). In case selected hospitals declined to participate a second or third wave of hospitals were invited. In Belgium and Germany, hospitals (that are not selected at random) were also given the opportunity to participate on a voluntary basis. In Finland, Poland and Greece hospitals were selected via purposive sampling (i.e. geographical spread, hospital size, hospital type). Representativeness checks (i.e. hospital type and size) were carried out in each country to assure </w:t>
      </w:r>
      <w:r w:rsidR="00585FD4">
        <w:rPr>
          <w:lang w:val="en-US"/>
        </w:rPr>
        <w:t xml:space="preserve">that </w:t>
      </w:r>
      <w:r w:rsidR="003E42B5" w:rsidRPr="00136830">
        <w:rPr>
          <w:lang w:val="en-US"/>
        </w:rPr>
        <w:t>the sample represents the population appropriately. Within each hospital a minimum of 2 nursing units (1 general surgical and 1 general medical nursing unit) were randomly selected from a master list of nursing units. The study sample included only adult medical-surgical care nursing units since the science of linking different elements of nursing practice environment (including nurse staffing) to patient safety and clinical outcomes is best documented within this area. Specialized nursing units (e.g. intensive care and high dependency units, transplant care units, pediatric unit, geriatric and long-term care nursing units) were excluded from the sampling frame. The minimum number of nursing units per h</w:t>
      </w:r>
      <w:r w:rsidR="00E95730">
        <w:rPr>
          <w:lang w:val="en-US"/>
        </w:rPr>
        <w:t>ospital that were sampled varied</w:t>
      </w:r>
      <w:r w:rsidR="003E42B5" w:rsidRPr="00136830">
        <w:rPr>
          <w:lang w:val="en-US"/>
        </w:rPr>
        <w:t xml:space="preserve"> between the country-specific protocols, ranging from 2 nursing units in Switzerland and Finland to all eligible nursing units in England (with a maximum of 10) and Norway.</w:t>
      </w:r>
      <w:r w:rsidR="0078543C">
        <w:rPr>
          <w:lang w:val="en-US"/>
        </w:rPr>
        <w:t xml:space="preserve"> </w:t>
      </w:r>
      <w:r w:rsidR="0078543C" w:rsidRPr="00136830">
        <w:rPr>
          <w:lang w:val="en-US"/>
        </w:rPr>
        <w:t xml:space="preserve">In Sweden, nurses were not approached through hospitals but via the Swedish Nursing Association (covering 85% of all nurses). Via the member register al registered nurses employed in hospitals and working in medical and surgical departments were selected. Nurses were asked to </w:t>
      </w:r>
      <w:r w:rsidR="0078543C">
        <w:rPr>
          <w:lang w:val="en-US"/>
        </w:rPr>
        <w:t>verify</w:t>
      </w:r>
      <w:r w:rsidR="0078543C" w:rsidRPr="00136830">
        <w:rPr>
          <w:lang w:val="en-US"/>
        </w:rPr>
        <w:t xml:space="preserve"> the hospital in which they work</w:t>
      </w:r>
      <w:r w:rsidR="0078543C">
        <w:rPr>
          <w:lang w:val="en-US"/>
        </w:rPr>
        <w:t xml:space="preserve"> and that they worked with direct patient care</w:t>
      </w:r>
      <w:r w:rsidR="0078543C" w:rsidRPr="00136830">
        <w:rPr>
          <w:lang w:val="en-US"/>
        </w:rPr>
        <w:t xml:space="preserve">. </w:t>
      </w:r>
      <w:r w:rsidR="00E95730">
        <w:rPr>
          <w:lang w:val="en-US"/>
        </w:rPr>
        <w:t>Six countries (Belgium, t</w:t>
      </w:r>
      <w:r w:rsidR="003E42B5" w:rsidRPr="00136830">
        <w:rPr>
          <w:lang w:val="en-US"/>
        </w:rPr>
        <w:t xml:space="preserve">he Netherlands, Switzerland, Finland, Spain and Germany) sampled a variable number of nursing units based on hospital size (e.g. </w:t>
      </w:r>
      <w:r w:rsidR="003E42B5" w:rsidRPr="00136830">
        <w:rPr>
          <w:lang w:val="en-US"/>
        </w:rPr>
        <w:lastRenderedPageBreak/>
        <w:t xml:space="preserve">Belgium: 4 nursing units in hospitals with &lt;500 beds; 6 nursing units in hospitals with 500 beds or more). Within this setting, the RN4CAST consortium aimed to collect data from four sources: a nurse survey to measure organizational attributes, wellbeing, and quality of care; a patient survey to measure patient satisfaction with care; an organizational profile survey about general hospital-wide characteristics; and routinely collected administrative patient data. </w:t>
      </w:r>
      <w:r w:rsidR="003E42B5" w:rsidRPr="00136830">
        <w:rPr>
          <w:lang w:val="en-US"/>
        </w:rPr>
        <w:tab/>
      </w:r>
      <w:r w:rsidR="003E42B5" w:rsidRPr="00136830">
        <w:rPr>
          <w:lang w:val="en-US"/>
        </w:rPr>
        <w:br/>
      </w:r>
      <w:r w:rsidR="00D767D5">
        <w:rPr>
          <w:lang w:val="en-GB" w:eastAsia="es-ES"/>
        </w:rPr>
        <w:t>T</w:t>
      </w:r>
      <w:r w:rsidR="00585FD4">
        <w:rPr>
          <w:lang w:val="en-GB" w:eastAsia="es-ES"/>
        </w:rPr>
        <w:t>he</w:t>
      </w:r>
      <w:r w:rsidR="00585FD4" w:rsidRPr="00136830">
        <w:rPr>
          <w:lang w:val="en-GB" w:eastAsia="es-ES"/>
        </w:rPr>
        <w:t xml:space="preserve"> </w:t>
      </w:r>
      <w:r w:rsidR="00C97623" w:rsidRPr="00136830">
        <w:rPr>
          <w:lang w:val="en-GB" w:eastAsia="es-ES"/>
        </w:rPr>
        <w:t>first source of information for this study</w:t>
      </w:r>
      <w:r w:rsidR="00C97623">
        <w:rPr>
          <w:lang w:val="en-GB" w:eastAsia="es-ES"/>
        </w:rPr>
        <w:t xml:space="preserve"> </w:t>
      </w:r>
      <w:r w:rsidR="00585FD4">
        <w:rPr>
          <w:lang w:val="en-GB" w:eastAsia="es-ES"/>
        </w:rPr>
        <w:t>we</w:t>
      </w:r>
      <w:r w:rsidR="00C97623">
        <w:rPr>
          <w:lang w:val="en-GB" w:eastAsia="es-ES"/>
        </w:rPr>
        <w:t>re nurses</w:t>
      </w:r>
      <w:r w:rsidR="00C97623" w:rsidRPr="00136830">
        <w:rPr>
          <w:lang w:val="en-GB" w:eastAsia="es-ES"/>
        </w:rPr>
        <w:t>. Through a survey of hospital nurses, we measured organizational attributes</w:t>
      </w:r>
      <w:r w:rsidR="00585FD4">
        <w:rPr>
          <w:lang w:val="en-GB" w:eastAsia="es-ES"/>
        </w:rPr>
        <w:t xml:space="preserve"> such as</w:t>
      </w:r>
      <w:r w:rsidR="00C97623" w:rsidRPr="00136830">
        <w:rPr>
          <w:lang w:val="en-GB" w:eastAsia="es-ES"/>
        </w:rPr>
        <w:t xml:space="preserve"> the nursing work environment (e.g. nurse-doctor relations, nurse leadership), educational level of nurses, nurse-to-patient ratios, and measures of nurse wellbeing (job satisfaction, burnout, intention-to-leave) and nurse perceived quality of care. </w:t>
      </w:r>
      <w:r w:rsidR="00C97623" w:rsidRPr="00136830">
        <w:rPr>
          <w:lang w:val="en-US"/>
        </w:rPr>
        <w:t>In each country all staff nurses (except nurses on sick leave, maternity leave or those who are on vacation) providing direct care to patients on the selected nursing units were</w:t>
      </w:r>
      <w:r w:rsidR="00D767D5">
        <w:rPr>
          <w:lang w:val="en-US"/>
        </w:rPr>
        <w:t xml:space="preserve"> included in the nurse survey. Nurses</w:t>
      </w:r>
      <w:r w:rsidR="00C97623" w:rsidRPr="00136830">
        <w:rPr>
          <w:lang w:val="en-US"/>
        </w:rPr>
        <w:t xml:space="preserve"> are defined in each country as those meeting the European Union definition of trained and licensed nurses according to directive 2005/36/EC. </w:t>
      </w:r>
      <w:r w:rsidR="00C97623" w:rsidRPr="00136830">
        <w:rPr>
          <w:lang w:val="en-GB" w:eastAsia="es-ES"/>
        </w:rPr>
        <w:t xml:space="preserve">2169 nursing units and 457 hospitals participated in the nurse survey. </w:t>
      </w:r>
      <w:r w:rsidR="00C97623" w:rsidRPr="00136830">
        <w:rPr>
          <w:lang w:val="en-GB"/>
        </w:rPr>
        <w:t>The sample consists of 33731 nurses (62% response rate) from Belgium (n=3186), England (n=2990), Finland (n=1131), Germany (n=1508), Greece (n=367), Ireland (n=1406), the Netherlands (n=2217), Norway (n=3752), Poland (n=2605), Spain (n=2804), Sweden (n=10133), and Switzerland (n=1632).</w:t>
      </w:r>
    </w:p>
    <w:p w:rsidR="00C97623" w:rsidRPr="00136830" w:rsidRDefault="0078543C" w:rsidP="00A749DD">
      <w:pPr>
        <w:spacing w:line="480" w:lineRule="auto"/>
        <w:jc w:val="both"/>
        <w:rPr>
          <w:lang w:val="en-US"/>
        </w:rPr>
      </w:pPr>
      <w:r>
        <w:rPr>
          <w:lang w:val="en-GB" w:eastAsia="es-ES"/>
        </w:rPr>
        <w:t>The</w:t>
      </w:r>
      <w:r w:rsidRPr="00136830">
        <w:rPr>
          <w:lang w:val="en-GB" w:eastAsia="es-ES"/>
        </w:rPr>
        <w:t xml:space="preserve"> </w:t>
      </w:r>
      <w:r w:rsidR="00C97623" w:rsidRPr="00136830">
        <w:rPr>
          <w:lang w:val="en-GB" w:eastAsia="es-ES"/>
        </w:rPr>
        <w:t xml:space="preserve">second data source </w:t>
      </w:r>
      <w:r>
        <w:rPr>
          <w:lang w:val="en-GB" w:eastAsia="es-ES"/>
        </w:rPr>
        <w:t>wa</w:t>
      </w:r>
      <w:r w:rsidR="00C97623" w:rsidRPr="00136830">
        <w:rPr>
          <w:lang w:val="en-GB" w:eastAsia="es-ES"/>
        </w:rPr>
        <w:t xml:space="preserve">s a survey of patients. This survey focused on satisfaction with care from nurses, care from doctors, the hospital environment, experiences in the hospital, discharge from the hospital, and overall rating of the hospital. </w:t>
      </w:r>
      <w:r w:rsidR="00C97623" w:rsidRPr="00136830">
        <w:rPr>
          <w:rFonts w:cs="Cambria"/>
          <w:lang w:val="en-US"/>
        </w:rPr>
        <w:t>Due to funding constraints</w:t>
      </w:r>
      <w:r w:rsidR="00C97623">
        <w:rPr>
          <w:rFonts w:cs="Cambria"/>
          <w:lang w:val="en-US"/>
        </w:rPr>
        <w:t xml:space="preserve"> (survey not foreseen in EU-funding)</w:t>
      </w:r>
      <w:r w:rsidR="00C97623" w:rsidRPr="00136830">
        <w:rPr>
          <w:rFonts w:cs="Cambria"/>
          <w:lang w:val="en-US"/>
        </w:rPr>
        <w:t xml:space="preserve">, England, the Netherlands, Norway, and Sweden did not participate in the patient satisfaction survey. </w:t>
      </w:r>
      <w:r w:rsidR="00C97623" w:rsidRPr="00136830">
        <w:rPr>
          <w:lang w:val="en-US"/>
        </w:rPr>
        <w:t xml:space="preserve">In five countries (Belgium, Poland, Greece, Finland, and Switzerland) all the selected hospitals were included in the patient survey, whilst in other countries the patient survey was only conducted in a selection (Spain, Germany, and Ireland). A one-day census approach was used to select patients of the selected nursing units. All eligible patients (i.e. able to speak and understand the language of the questionnaire and to respond to the questions), present on the </w:t>
      </w:r>
      <w:r w:rsidR="00C97623" w:rsidRPr="00136830">
        <w:rPr>
          <w:lang w:val="en-US"/>
        </w:rPr>
        <w:lastRenderedPageBreak/>
        <w:t>selected nursing units on the day of the census, were included in the study sample.</w:t>
      </w:r>
      <w:r w:rsidR="00C97623" w:rsidRPr="00136830">
        <w:rPr>
          <w:lang w:val="en-GB" w:eastAsia="es-ES"/>
        </w:rPr>
        <w:t xml:space="preserve"> </w:t>
      </w:r>
      <w:r w:rsidR="00C97623" w:rsidRPr="00136830">
        <w:rPr>
          <w:lang w:val="en-GB"/>
        </w:rPr>
        <w:t xml:space="preserve">A sub selection of </w:t>
      </w:r>
      <w:r w:rsidR="00C97623" w:rsidRPr="00136830">
        <w:rPr>
          <w:lang w:val="en-GB" w:eastAsia="es-ES"/>
        </w:rPr>
        <w:t>825 nursing units and 210 hospitals participated to the patient survey. The sample consists of 11567 patients (71% response rate) from Belgium (n=2623), Finland (n=1947), Germany (n=262), Greece (n=847), Ireland (n=285), Poland (n=4136), Spain (n=470), and Switzerland (n=997).</w:t>
      </w:r>
    </w:p>
    <w:p w:rsidR="00C97623" w:rsidRPr="00136830" w:rsidRDefault="00C97623" w:rsidP="00A749DD">
      <w:pPr>
        <w:spacing w:line="480" w:lineRule="auto"/>
        <w:jc w:val="both"/>
        <w:rPr>
          <w:lang w:val="en-US"/>
        </w:rPr>
      </w:pPr>
      <w:r w:rsidRPr="00136830">
        <w:rPr>
          <w:lang w:val="en-GB" w:eastAsia="es-ES"/>
        </w:rPr>
        <w:t xml:space="preserve">A third data source </w:t>
      </w:r>
      <w:r w:rsidR="0078543C">
        <w:rPr>
          <w:lang w:val="en-GB" w:eastAsia="es-ES"/>
        </w:rPr>
        <w:t>wa</w:t>
      </w:r>
      <w:r w:rsidRPr="00136830">
        <w:rPr>
          <w:lang w:val="en-GB" w:eastAsia="es-ES"/>
        </w:rPr>
        <w:t>s the survey of the hospital management of the participating hospitals about general hospital-wide characteristics like bed size, teaching status and technology level.</w:t>
      </w:r>
      <w:r w:rsidRPr="00136830">
        <w:rPr>
          <w:lang w:val="en-US"/>
        </w:rPr>
        <w:t xml:space="preserve"> </w:t>
      </w:r>
    </w:p>
    <w:p w:rsidR="00C97623" w:rsidRPr="00136830" w:rsidRDefault="00C97623" w:rsidP="00A749DD">
      <w:pPr>
        <w:spacing w:line="480" w:lineRule="auto"/>
        <w:jc w:val="both"/>
        <w:rPr>
          <w:lang w:val="en-GB" w:eastAsia="es-ES"/>
        </w:rPr>
      </w:pPr>
      <w:r w:rsidRPr="00136830">
        <w:rPr>
          <w:lang w:val="en-GB" w:eastAsia="es-ES"/>
        </w:rPr>
        <w:t xml:space="preserve">A fourth data source </w:t>
      </w:r>
      <w:r w:rsidR="0078543C">
        <w:rPr>
          <w:lang w:val="en-GB" w:eastAsia="es-ES"/>
        </w:rPr>
        <w:t>wa</w:t>
      </w:r>
      <w:r w:rsidRPr="00136830">
        <w:rPr>
          <w:lang w:val="en-GB" w:eastAsia="es-ES"/>
        </w:rPr>
        <w:t>s routinely collected administrative databases, used to derive patient level data on mortality and other patient outcomes. Routinely</w:t>
      </w:r>
      <w:r w:rsidR="0007202F">
        <w:rPr>
          <w:lang w:val="en-GB" w:eastAsia="es-ES"/>
        </w:rPr>
        <w:t xml:space="preserve"> collected administrative data are</w:t>
      </w:r>
      <w:r w:rsidRPr="00136830">
        <w:rPr>
          <w:lang w:val="en-GB" w:eastAsia="es-ES"/>
        </w:rPr>
        <w:t xml:space="preserve"> available for about seven million hospital stays. </w:t>
      </w:r>
    </w:p>
    <w:p w:rsidR="008437D7" w:rsidRPr="008437D7" w:rsidRDefault="008437D7" w:rsidP="00A749DD">
      <w:pPr>
        <w:pStyle w:val="Lijstalinea"/>
        <w:numPr>
          <w:ilvl w:val="1"/>
          <w:numId w:val="22"/>
        </w:numPr>
        <w:spacing w:line="480" w:lineRule="auto"/>
        <w:jc w:val="both"/>
        <w:rPr>
          <w:lang w:eastAsia="nl-BE"/>
        </w:rPr>
      </w:pPr>
      <w:r>
        <w:rPr>
          <w:lang w:eastAsia="nl-BE"/>
        </w:rPr>
        <w:t>Study measures</w:t>
      </w:r>
    </w:p>
    <w:p w:rsidR="00C97623" w:rsidRPr="00136830" w:rsidRDefault="00C97623" w:rsidP="00A749DD">
      <w:pPr>
        <w:spacing w:line="480" w:lineRule="auto"/>
        <w:jc w:val="both"/>
        <w:rPr>
          <w:lang w:val="en-US" w:eastAsia="nl-BE"/>
        </w:rPr>
      </w:pPr>
      <w:r w:rsidRPr="00136830">
        <w:rPr>
          <w:lang w:val="en-US" w:eastAsia="nl-BE"/>
        </w:rPr>
        <w:t xml:space="preserve">These </w:t>
      </w:r>
      <w:r w:rsidR="0078543C">
        <w:rPr>
          <w:lang w:val="en-US" w:eastAsia="nl-BE"/>
        </w:rPr>
        <w:t>we</w:t>
      </w:r>
      <w:r w:rsidRPr="00136830">
        <w:rPr>
          <w:lang w:val="en-US" w:eastAsia="nl-BE"/>
        </w:rPr>
        <w:t>re the key available (deduced) measures from the nurse and patient survey, organizational profile survey, and patient outcomes data collection:</w:t>
      </w:r>
    </w:p>
    <w:p w:rsidR="00C97623" w:rsidRPr="00B5488D" w:rsidRDefault="00C97623" w:rsidP="00A749DD">
      <w:pPr>
        <w:shd w:val="clear" w:color="auto" w:fill="FFFFFF"/>
        <w:spacing w:after="0" w:line="480" w:lineRule="auto"/>
        <w:jc w:val="both"/>
        <w:rPr>
          <w:lang w:val="en-US"/>
        </w:rPr>
      </w:pPr>
      <w:r w:rsidRPr="00FC6AB2">
        <w:rPr>
          <w:lang w:val="en-US"/>
        </w:rPr>
        <w:t>Nurse survey:</w:t>
      </w:r>
    </w:p>
    <w:p w:rsidR="00C97623" w:rsidRPr="00B5488D" w:rsidRDefault="00C97623" w:rsidP="00A749DD">
      <w:pPr>
        <w:spacing w:line="480" w:lineRule="auto"/>
        <w:rPr>
          <w:rFonts w:cs="Cambria"/>
          <w:i/>
          <w:lang w:val="en-US" w:eastAsia="nl-BE"/>
        </w:rPr>
      </w:pPr>
      <w:r w:rsidRPr="00FC6AB2">
        <w:rPr>
          <w:rFonts w:cs="Cambria"/>
          <w:i/>
          <w:lang w:val="en-US" w:eastAsia="nl-BE"/>
        </w:rPr>
        <w:t>Organization of nursing care</w:t>
      </w:r>
    </w:p>
    <w:p w:rsidR="00C97623" w:rsidRPr="00136830" w:rsidRDefault="00C97623" w:rsidP="00A749DD">
      <w:pPr>
        <w:pStyle w:val="Lijstalinea"/>
        <w:numPr>
          <w:ilvl w:val="0"/>
          <w:numId w:val="1"/>
        </w:numPr>
        <w:spacing w:line="480" w:lineRule="auto"/>
        <w:jc w:val="both"/>
        <w:rPr>
          <w:rFonts w:cs="Cambria"/>
          <w:lang w:eastAsia="nl-BE" w:bidi="ar-SA"/>
        </w:rPr>
      </w:pPr>
      <w:r w:rsidRPr="00136830">
        <w:rPr>
          <w:rFonts w:cs="Cambria"/>
          <w:lang w:eastAsia="nl-BE" w:bidi="ar-SA"/>
        </w:rPr>
        <w:t xml:space="preserve">Nurse staffing was calculated for each hospital from nurse surveys as a ratio of patients to nurses on the ward on each nurse’s last shift, averaged across all direct inpatient care nurses in the sampled hospitals. </w:t>
      </w:r>
    </w:p>
    <w:p w:rsidR="00C97623" w:rsidRPr="00136830" w:rsidRDefault="00C97623" w:rsidP="00A749DD">
      <w:pPr>
        <w:pStyle w:val="Lijstalinea"/>
        <w:numPr>
          <w:ilvl w:val="0"/>
          <w:numId w:val="1"/>
        </w:numPr>
        <w:spacing w:line="480" w:lineRule="auto"/>
        <w:jc w:val="both"/>
        <w:rPr>
          <w:lang w:eastAsia="nl-BE" w:bidi="ar-SA"/>
        </w:rPr>
      </w:pPr>
      <w:r w:rsidRPr="00136830">
        <w:rPr>
          <w:rFonts w:cs="Cambria"/>
          <w:lang w:eastAsia="nl-BE" w:bidi="ar-SA"/>
        </w:rPr>
        <w:t xml:space="preserve">Nurse work environment was measured using the Practice Environment Scale of the Nursing Work Index (PES-NWI), an internationally validated measure </w:t>
      </w:r>
      <w:r w:rsidR="0075458D">
        <w:rPr>
          <w:rFonts w:cs="Cambria"/>
          <w:lang w:eastAsia="nl-BE" w:bidi="ar-SA"/>
        </w:rPr>
        <w:t>[4]</w:t>
      </w:r>
      <w:r w:rsidRPr="00136830">
        <w:rPr>
          <w:rFonts w:cs="Cambria"/>
          <w:lang w:eastAsia="nl-BE" w:bidi="ar-SA"/>
        </w:rPr>
        <w:t>.</w:t>
      </w:r>
      <w:r w:rsidRPr="00136830">
        <w:rPr>
          <w:lang w:eastAsia="nl-BE" w:bidi="ar-SA"/>
        </w:rPr>
        <w:t xml:space="preserve"> </w:t>
      </w:r>
      <w:r w:rsidRPr="00136830">
        <w:rPr>
          <w:rFonts w:cs="Cambria"/>
          <w:lang w:eastAsia="nl-BE" w:bidi="ar-SA"/>
        </w:rPr>
        <w:t xml:space="preserve">The PES-NWI measures modifiable organizational behaviors including managerial support for nursing, nurse participation in hospital affairs, doctor-nurse relations, and promotion of care quality. Subscales of the Practice Environment Scale of the Nursing Work Index-Revised were used to derive a three-category measure differentiating hospitals with lowest (worst) quartile, middle 50%, and highest (best) quartile work environment scores. </w:t>
      </w:r>
    </w:p>
    <w:p w:rsidR="00C97623" w:rsidRPr="00136830" w:rsidRDefault="00C97623" w:rsidP="00A749DD">
      <w:pPr>
        <w:pStyle w:val="Lijstalinea"/>
        <w:numPr>
          <w:ilvl w:val="0"/>
          <w:numId w:val="1"/>
        </w:numPr>
        <w:spacing w:line="480" w:lineRule="auto"/>
        <w:jc w:val="both"/>
        <w:rPr>
          <w:lang w:eastAsia="nl-BE" w:bidi="ar-SA"/>
        </w:rPr>
      </w:pPr>
      <w:r w:rsidRPr="00136830">
        <w:rPr>
          <w:rFonts w:cs="Cambria"/>
          <w:lang w:eastAsia="nl-BE" w:bidi="ar-SA"/>
        </w:rPr>
        <w:lastRenderedPageBreak/>
        <w:t>Nurse education level calculated for each hospital from nurse surveys as the proportion of nurse indication they had obtained a bachelor degree in nursing, averaged across all direct inpatient care nurses in the sampled wards and hospitals.</w:t>
      </w:r>
    </w:p>
    <w:p w:rsidR="00C97623" w:rsidRPr="00136830" w:rsidRDefault="00C97623" w:rsidP="00A749DD">
      <w:pPr>
        <w:spacing w:line="480" w:lineRule="auto"/>
        <w:rPr>
          <w:i/>
          <w:lang w:val="en-US" w:eastAsia="nl-BE"/>
        </w:rPr>
      </w:pPr>
      <w:r w:rsidRPr="00136830">
        <w:rPr>
          <w:i/>
          <w:lang w:val="en-US" w:eastAsia="nl-BE"/>
        </w:rPr>
        <w:t>Nurse wellbeing, quality of care, and patient safety</w:t>
      </w:r>
    </w:p>
    <w:p w:rsidR="00C97623" w:rsidRPr="00136830" w:rsidRDefault="00C97623" w:rsidP="00A749DD">
      <w:pPr>
        <w:pStyle w:val="Lijstalinea"/>
        <w:numPr>
          <w:ilvl w:val="0"/>
          <w:numId w:val="1"/>
        </w:numPr>
        <w:spacing w:line="480" w:lineRule="auto"/>
        <w:jc w:val="both"/>
        <w:rPr>
          <w:lang w:eastAsia="nl-BE" w:bidi="ar-SA"/>
        </w:rPr>
      </w:pPr>
      <w:r w:rsidRPr="00136830">
        <w:rPr>
          <w:rFonts w:cs="Cambria"/>
          <w:lang w:eastAsia="nl-BE" w:bidi="ar-SA"/>
        </w:rPr>
        <w:t xml:space="preserve">Nurse burnout was measured with the Emotional Exhaustion subscale of the </w:t>
      </w:r>
      <w:proofErr w:type="spellStart"/>
      <w:r w:rsidRPr="00136830">
        <w:rPr>
          <w:rFonts w:cs="Cambria"/>
          <w:lang w:eastAsia="nl-BE" w:bidi="ar-SA"/>
        </w:rPr>
        <w:t>Maslach</w:t>
      </w:r>
      <w:proofErr w:type="spellEnd"/>
      <w:r w:rsidRPr="00136830">
        <w:rPr>
          <w:rFonts w:cs="Cambria"/>
          <w:lang w:eastAsia="nl-BE" w:bidi="ar-SA"/>
        </w:rPr>
        <w:t xml:space="preserve"> Burnout Inventory an instrument with established reliability and validi</w:t>
      </w:r>
      <w:r w:rsidR="0075458D">
        <w:rPr>
          <w:rFonts w:cs="Cambria"/>
          <w:lang w:eastAsia="nl-BE" w:bidi="ar-SA"/>
        </w:rPr>
        <w:t>ty in international research [5]</w:t>
      </w:r>
      <w:r w:rsidRPr="00136830">
        <w:rPr>
          <w:rFonts w:cs="Cambria"/>
          <w:lang w:eastAsia="nl-BE" w:bidi="ar-SA"/>
        </w:rPr>
        <w:t>.</w:t>
      </w:r>
    </w:p>
    <w:p w:rsidR="00C97623" w:rsidRPr="00136830" w:rsidRDefault="00C97623" w:rsidP="00A749DD">
      <w:pPr>
        <w:pStyle w:val="Lijstalinea"/>
        <w:numPr>
          <w:ilvl w:val="0"/>
          <w:numId w:val="1"/>
        </w:numPr>
        <w:spacing w:line="480" w:lineRule="auto"/>
        <w:jc w:val="both"/>
        <w:rPr>
          <w:lang w:eastAsia="nl-BE" w:bidi="ar-SA"/>
        </w:rPr>
      </w:pPr>
      <w:r w:rsidRPr="00136830">
        <w:rPr>
          <w:rFonts w:cs="Cambria"/>
          <w:lang w:eastAsia="nl-BE" w:bidi="ar-SA"/>
        </w:rPr>
        <w:t xml:space="preserve">Other nurse outcomes and nurse-reported measures were derived from survey items, to contrast between nurses who were dissatisfied (vs. satisfied) with their jobs; who intended to leave their job in the next year (vs. those who did not); who reported that the quality of care on their ward was fair or poor (vs. good or excellent); who were less than confident (vs. confident) that patients could manage their own care when discharged; and who were less than confident (vs. confident) that management would resolve patient care problems.  </w:t>
      </w:r>
    </w:p>
    <w:p w:rsidR="00C97623" w:rsidRPr="00136830" w:rsidRDefault="00C97623" w:rsidP="00A749DD">
      <w:pPr>
        <w:pStyle w:val="Lijstalinea"/>
        <w:numPr>
          <w:ilvl w:val="0"/>
          <w:numId w:val="1"/>
        </w:numPr>
        <w:spacing w:line="480" w:lineRule="auto"/>
        <w:jc w:val="both"/>
        <w:rPr>
          <w:lang w:eastAsia="nl-BE" w:bidi="ar-SA"/>
        </w:rPr>
      </w:pPr>
      <w:r w:rsidRPr="00136830">
        <w:rPr>
          <w:rFonts w:cs="Cambria"/>
          <w:lang w:eastAsia="nl-BE" w:bidi="ar-SA"/>
        </w:rPr>
        <w:t>Using an item derived from the Agency for Healthcare Research and Quality (AHRQ) Hospital Survey on Patient Safety Culture, nurses gave their ward an overall grade on patient safety, allowing us to compare nurses that gave poor or failing grades with those who gave excellent, v</w:t>
      </w:r>
      <w:r w:rsidR="0075458D">
        <w:rPr>
          <w:rFonts w:cs="Cambria"/>
          <w:lang w:eastAsia="nl-BE" w:bidi="ar-SA"/>
        </w:rPr>
        <w:t>ery good, or acceptable grades [6]</w:t>
      </w:r>
      <w:r w:rsidRPr="00136830">
        <w:rPr>
          <w:rFonts w:cs="Cambria"/>
          <w:lang w:eastAsia="nl-BE" w:bidi="ar-SA"/>
        </w:rPr>
        <w:t>.</w:t>
      </w:r>
    </w:p>
    <w:p w:rsidR="00C97623" w:rsidRPr="00136830" w:rsidRDefault="00C97623" w:rsidP="00A749DD">
      <w:pPr>
        <w:pStyle w:val="Lijstalinea"/>
        <w:numPr>
          <w:ilvl w:val="0"/>
          <w:numId w:val="1"/>
        </w:numPr>
        <w:spacing w:line="480" w:lineRule="auto"/>
        <w:jc w:val="both"/>
        <w:rPr>
          <w:lang w:eastAsia="nl-BE" w:bidi="ar-SA"/>
        </w:rPr>
      </w:pPr>
      <w:r w:rsidRPr="00136830">
        <w:rPr>
          <w:rFonts w:cs="Cambria"/>
          <w:lang w:eastAsia="nl-BE" w:bidi="ar-SA"/>
        </w:rPr>
        <w:t>Nurses were also asked whether they would recommend their hospitals to family and friends.</w:t>
      </w:r>
    </w:p>
    <w:p w:rsidR="00C97623" w:rsidRPr="00B5488D" w:rsidRDefault="00C97623" w:rsidP="00A749DD">
      <w:pPr>
        <w:spacing w:line="480" w:lineRule="auto"/>
        <w:rPr>
          <w:i/>
          <w:lang w:val="en-US" w:eastAsia="nl-BE"/>
        </w:rPr>
      </w:pPr>
      <w:r w:rsidRPr="00FC6AB2">
        <w:rPr>
          <w:i/>
          <w:lang w:val="en-US" w:eastAsia="nl-BE"/>
        </w:rPr>
        <w:t>Variables for risk adjustment</w:t>
      </w:r>
    </w:p>
    <w:p w:rsidR="00C97623" w:rsidRPr="00136830" w:rsidRDefault="00C97623" w:rsidP="00A749DD">
      <w:pPr>
        <w:shd w:val="clear" w:color="auto" w:fill="FFFFFF"/>
        <w:spacing w:after="0" w:line="480" w:lineRule="auto"/>
        <w:jc w:val="both"/>
        <w:rPr>
          <w:lang w:val="en-US" w:eastAsia="nl-BE"/>
        </w:rPr>
      </w:pPr>
      <w:r w:rsidRPr="00136830">
        <w:rPr>
          <w:lang w:val="en-US" w:eastAsia="nl-BE"/>
        </w:rPr>
        <w:t>Age, gender, education, years of experience, migratory status.</w:t>
      </w:r>
    </w:p>
    <w:p w:rsidR="00C97623" w:rsidRPr="00136830" w:rsidRDefault="00C97623" w:rsidP="00A749DD">
      <w:pPr>
        <w:shd w:val="clear" w:color="auto" w:fill="FFFFFF"/>
        <w:spacing w:after="0" w:line="480" w:lineRule="auto"/>
        <w:jc w:val="both"/>
        <w:rPr>
          <w:lang w:val="en-US"/>
        </w:rPr>
      </w:pPr>
      <w:r w:rsidRPr="00136830">
        <w:rPr>
          <w:lang w:val="en-US"/>
        </w:rPr>
        <w:t xml:space="preserve">Patient survey: </w:t>
      </w:r>
    </w:p>
    <w:p w:rsidR="00C97623" w:rsidRPr="00136830" w:rsidRDefault="00C97623" w:rsidP="00A749DD">
      <w:pPr>
        <w:spacing w:line="480" w:lineRule="auto"/>
        <w:rPr>
          <w:i/>
          <w:lang w:val="en-US" w:eastAsia="nl-BE"/>
        </w:rPr>
      </w:pPr>
      <w:r w:rsidRPr="00136830">
        <w:rPr>
          <w:i/>
          <w:lang w:val="en-US" w:eastAsia="nl-BE"/>
        </w:rPr>
        <w:t>Variables for risk adjustment</w:t>
      </w:r>
    </w:p>
    <w:p w:rsidR="00C97623" w:rsidRPr="00136830" w:rsidRDefault="00C97623" w:rsidP="00A749DD">
      <w:pPr>
        <w:spacing w:line="480" w:lineRule="auto"/>
        <w:rPr>
          <w:i/>
          <w:lang w:val="en-US" w:eastAsia="nl-BE"/>
        </w:rPr>
      </w:pPr>
      <w:r w:rsidRPr="00136830">
        <w:rPr>
          <w:lang w:val="en-US" w:eastAsia="nl-BE"/>
        </w:rPr>
        <w:t>Age, gender, education, years of experience, migratory status.</w:t>
      </w:r>
    </w:p>
    <w:p w:rsidR="00C97623" w:rsidRPr="00CB41FB" w:rsidRDefault="00C97623" w:rsidP="00A749DD">
      <w:pPr>
        <w:spacing w:line="480" w:lineRule="auto"/>
        <w:rPr>
          <w:rFonts w:cs="Cambria"/>
          <w:lang w:val="en-US" w:eastAsia="nl-BE"/>
        </w:rPr>
      </w:pPr>
      <w:r w:rsidRPr="00CB41FB">
        <w:rPr>
          <w:rFonts w:cs="Cambria"/>
          <w:lang w:val="en-US" w:eastAsia="nl-BE"/>
        </w:rPr>
        <w:t>Patient satisfaction was measured with the Hospital Consumer Assessment of Healthcare P</w:t>
      </w:r>
      <w:r w:rsidR="0075458D" w:rsidRPr="00CB41FB">
        <w:rPr>
          <w:rFonts w:cs="Cambria"/>
          <w:lang w:val="en-US" w:eastAsia="nl-BE"/>
        </w:rPr>
        <w:t>roviders and Systems (HCAHPS)[7]</w:t>
      </w:r>
      <w:r w:rsidR="00CB41FB">
        <w:rPr>
          <w:rFonts w:cs="Cambria"/>
          <w:lang w:val="en-US" w:eastAsia="nl-BE"/>
        </w:rPr>
        <w:t>:</w:t>
      </w:r>
    </w:p>
    <w:p w:rsidR="00C97623" w:rsidRPr="00136830" w:rsidRDefault="00C97623" w:rsidP="00A749DD">
      <w:pPr>
        <w:pStyle w:val="Lijstalinea"/>
        <w:numPr>
          <w:ilvl w:val="0"/>
          <w:numId w:val="2"/>
        </w:numPr>
        <w:spacing w:line="480" w:lineRule="auto"/>
        <w:jc w:val="both"/>
        <w:rPr>
          <w:rFonts w:cs="Cambria"/>
          <w:lang w:eastAsia="nl-BE" w:bidi="ar-SA"/>
        </w:rPr>
      </w:pPr>
      <w:r w:rsidRPr="00136830">
        <w:rPr>
          <w:rFonts w:cs="Cambria"/>
          <w:lang w:eastAsia="nl-BE" w:bidi="ar-SA"/>
        </w:rPr>
        <w:lastRenderedPageBreak/>
        <w:t xml:space="preserve">Patients rated their hospitals on a scale from 0 (worst) to 10 (best) </w:t>
      </w:r>
    </w:p>
    <w:p w:rsidR="00C97623" w:rsidRPr="00136830" w:rsidRDefault="00C97623" w:rsidP="00A749DD">
      <w:pPr>
        <w:pStyle w:val="Lijstalinea"/>
        <w:numPr>
          <w:ilvl w:val="0"/>
          <w:numId w:val="2"/>
        </w:numPr>
        <w:spacing w:line="480" w:lineRule="auto"/>
        <w:jc w:val="both"/>
        <w:rPr>
          <w:rFonts w:cs="Cambria"/>
          <w:lang w:eastAsia="nl-BE" w:bidi="ar-SA"/>
        </w:rPr>
      </w:pPr>
      <w:r w:rsidRPr="00136830">
        <w:rPr>
          <w:rFonts w:cs="Cambria"/>
          <w:lang w:eastAsia="nl-BE" w:bidi="ar-SA"/>
        </w:rPr>
        <w:t>Patients indicated whether they would recommend their hospital to family and friends</w:t>
      </w:r>
    </w:p>
    <w:p w:rsidR="00C97623" w:rsidRPr="00136830" w:rsidRDefault="00C97623" w:rsidP="00A749DD">
      <w:pPr>
        <w:pStyle w:val="Lijstalinea"/>
        <w:numPr>
          <w:ilvl w:val="0"/>
          <w:numId w:val="2"/>
        </w:numPr>
        <w:spacing w:line="480" w:lineRule="auto"/>
        <w:jc w:val="both"/>
        <w:rPr>
          <w:rFonts w:cs="Cambria"/>
          <w:lang w:eastAsia="nl-BE" w:bidi="ar-SA"/>
        </w:rPr>
      </w:pPr>
      <w:r w:rsidRPr="00136830">
        <w:rPr>
          <w:rFonts w:cs="Cambria"/>
          <w:lang w:eastAsia="nl-BE" w:bidi="ar-SA"/>
        </w:rPr>
        <w:t>A composite measure of satisfaction with nursing was derived from three items asking patients whether nurses always 1) treated them with respect, 2) listened carefully, and 3) explained things in a clear manner.</w:t>
      </w:r>
    </w:p>
    <w:p w:rsidR="00C97623" w:rsidRPr="00B5488D" w:rsidRDefault="00C97623" w:rsidP="00A749DD">
      <w:pPr>
        <w:spacing w:line="480" w:lineRule="auto"/>
        <w:jc w:val="both"/>
        <w:rPr>
          <w:rFonts w:cs="Cambria"/>
          <w:lang w:val="en-US" w:eastAsia="nl-BE"/>
        </w:rPr>
      </w:pPr>
      <w:r w:rsidRPr="00FC6AB2">
        <w:rPr>
          <w:rFonts w:cs="Cambria"/>
          <w:lang w:val="en-US" w:eastAsia="nl-BE"/>
        </w:rPr>
        <w:t>Hospital profile survey:</w:t>
      </w:r>
    </w:p>
    <w:p w:rsidR="00C97623" w:rsidRPr="00B5488D" w:rsidRDefault="00C97623" w:rsidP="00A749DD">
      <w:pPr>
        <w:spacing w:line="480" w:lineRule="auto"/>
        <w:rPr>
          <w:rFonts w:cs="Cambria"/>
          <w:i/>
          <w:lang w:val="en-US" w:eastAsia="nl-BE"/>
        </w:rPr>
      </w:pPr>
      <w:r w:rsidRPr="00FC6AB2">
        <w:rPr>
          <w:rFonts w:cs="Cambria"/>
          <w:i/>
          <w:lang w:val="en-US" w:eastAsia="nl-BE"/>
        </w:rPr>
        <w:t>Variables for risk-adjustment</w:t>
      </w:r>
    </w:p>
    <w:p w:rsidR="00C97623" w:rsidRPr="00136830" w:rsidRDefault="00C97623" w:rsidP="00A749DD">
      <w:pPr>
        <w:spacing w:line="480" w:lineRule="auto"/>
        <w:jc w:val="both"/>
        <w:rPr>
          <w:rFonts w:cs="Cambria"/>
          <w:lang w:val="en-US" w:eastAsia="nl-BE"/>
        </w:rPr>
      </w:pPr>
      <w:r w:rsidRPr="00136830">
        <w:rPr>
          <w:rFonts w:cs="Cambria"/>
          <w:lang w:val="en-US" w:eastAsia="nl-BE"/>
        </w:rPr>
        <w:t>Size, teaching status, and technology (open heart surgery and/or organ transplantation defined high technology hospitals).</w:t>
      </w:r>
    </w:p>
    <w:p w:rsidR="00C97623" w:rsidRPr="00136830" w:rsidRDefault="00C97623" w:rsidP="00A749DD">
      <w:pPr>
        <w:spacing w:line="480" w:lineRule="auto"/>
        <w:jc w:val="both"/>
        <w:rPr>
          <w:rFonts w:cs="Cambria"/>
          <w:lang w:val="en-US" w:eastAsia="nl-BE"/>
        </w:rPr>
      </w:pPr>
      <w:r w:rsidRPr="00136830">
        <w:rPr>
          <w:rFonts w:cs="Cambria"/>
          <w:lang w:val="en-US" w:eastAsia="nl-BE"/>
        </w:rPr>
        <w:t>Administrative discharge data:</w:t>
      </w:r>
    </w:p>
    <w:p w:rsidR="00C97623" w:rsidRPr="00B93129" w:rsidRDefault="00C97623" w:rsidP="00A749DD">
      <w:pPr>
        <w:spacing w:line="480" w:lineRule="auto"/>
        <w:rPr>
          <w:i/>
          <w:lang w:val="en-US"/>
        </w:rPr>
      </w:pPr>
      <w:r w:rsidRPr="00B93129">
        <w:rPr>
          <w:i/>
          <w:lang w:val="en-US"/>
        </w:rPr>
        <w:t>Patient clinical outcomes</w:t>
      </w:r>
    </w:p>
    <w:p w:rsidR="00C97623" w:rsidRPr="00136830" w:rsidRDefault="00C97623" w:rsidP="00A749DD">
      <w:pPr>
        <w:pStyle w:val="Lijstalinea"/>
        <w:numPr>
          <w:ilvl w:val="0"/>
          <w:numId w:val="3"/>
        </w:numPr>
        <w:spacing w:line="480" w:lineRule="auto"/>
        <w:jc w:val="both"/>
      </w:pPr>
      <w:r w:rsidRPr="00136830">
        <w:t>Patient in-hospital 30-day mortality: patient dying in the hospital within first 30 days of hospital stay</w:t>
      </w:r>
    </w:p>
    <w:p w:rsidR="00C97623" w:rsidRPr="00136830" w:rsidRDefault="00C97623" w:rsidP="00A749DD">
      <w:pPr>
        <w:spacing w:line="480" w:lineRule="auto"/>
        <w:rPr>
          <w:i/>
        </w:rPr>
      </w:pPr>
      <w:r w:rsidRPr="00136830">
        <w:rPr>
          <w:i/>
        </w:rPr>
        <w:t xml:space="preserve">Variables </w:t>
      </w:r>
      <w:proofErr w:type="spellStart"/>
      <w:r w:rsidRPr="00136830">
        <w:rPr>
          <w:i/>
        </w:rPr>
        <w:t>for</w:t>
      </w:r>
      <w:proofErr w:type="spellEnd"/>
      <w:r w:rsidRPr="00136830">
        <w:rPr>
          <w:i/>
        </w:rPr>
        <w:t xml:space="preserve"> </w:t>
      </w:r>
      <w:proofErr w:type="spellStart"/>
      <w:r w:rsidRPr="00136830">
        <w:rPr>
          <w:i/>
        </w:rPr>
        <w:t>risk-adjustment</w:t>
      </w:r>
      <w:proofErr w:type="spellEnd"/>
    </w:p>
    <w:p w:rsidR="00C97623" w:rsidRPr="00136830" w:rsidRDefault="00C97623" w:rsidP="00A749DD">
      <w:pPr>
        <w:pStyle w:val="Lijstalinea"/>
        <w:numPr>
          <w:ilvl w:val="0"/>
          <w:numId w:val="3"/>
        </w:numPr>
        <w:spacing w:line="480" w:lineRule="auto"/>
        <w:jc w:val="both"/>
      </w:pPr>
      <w:r w:rsidRPr="00136830">
        <w:t>Patient’s sex, age, type of admission.</w:t>
      </w:r>
    </w:p>
    <w:p w:rsidR="00FB7DBE" w:rsidRDefault="00C97623" w:rsidP="00A749DD">
      <w:pPr>
        <w:pStyle w:val="Lijstalinea"/>
        <w:numPr>
          <w:ilvl w:val="0"/>
          <w:numId w:val="3"/>
        </w:numPr>
        <w:spacing w:line="480" w:lineRule="auto"/>
        <w:jc w:val="both"/>
      </w:pPr>
      <w:r w:rsidRPr="00136830">
        <w:t xml:space="preserve">Co-morbidity was calculated based on previous work on algorithms for the </w:t>
      </w:r>
      <w:proofErr w:type="spellStart"/>
      <w:r w:rsidRPr="00136830">
        <w:t>Charlson</w:t>
      </w:r>
      <w:proofErr w:type="spellEnd"/>
      <w:r w:rsidRPr="00136830">
        <w:t xml:space="preserve"> Co-morbidity Index (Myocardial infarction, congestive heart failure, peripheral vascular disease, </w:t>
      </w:r>
      <w:proofErr w:type="spellStart"/>
      <w:r w:rsidRPr="00136830">
        <w:t>cerebrovascular</w:t>
      </w:r>
      <w:proofErr w:type="spellEnd"/>
      <w:r w:rsidRPr="00136830">
        <w:t xml:space="preserve"> disease, dementia, chronic pulmonary disease, connective tissue disease, peptic ulcer disease, mild liver disease, diabetes without complications, diabetes with complications, paraplegia and </w:t>
      </w:r>
      <w:proofErr w:type="spellStart"/>
      <w:r w:rsidRPr="00136830">
        <w:t>hemiplegia</w:t>
      </w:r>
      <w:proofErr w:type="spellEnd"/>
      <w:r w:rsidRPr="00136830">
        <w:t>, renal disease, cancer, moderate of severe liver disease, metastati</w:t>
      </w:r>
      <w:r w:rsidR="00CB41FB">
        <w:t>c carcinoma, AIDS/HIV) [8-10]</w:t>
      </w:r>
      <w:r w:rsidRPr="00136830">
        <w:t>.</w:t>
      </w:r>
    </w:p>
    <w:p w:rsidR="00FB7DBE" w:rsidRDefault="00C97623" w:rsidP="00A749DD">
      <w:pPr>
        <w:pStyle w:val="Lijstalinea"/>
        <w:numPr>
          <w:ilvl w:val="0"/>
          <w:numId w:val="3"/>
        </w:numPr>
        <w:spacing w:line="480" w:lineRule="auto"/>
        <w:jc w:val="both"/>
      </w:pPr>
      <w:r w:rsidRPr="00136830">
        <w:t xml:space="preserve">DRGs: Cross-mapping were carried out for the codes used in the different algorithms because the use of different local coding languages and grouping systems. This transformation process of </w:t>
      </w:r>
      <w:r w:rsidRPr="00136830">
        <w:lastRenderedPageBreak/>
        <w:t xml:space="preserve">internationally available algorithms to the context of local databases had already been </w:t>
      </w:r>
      <w:r w:rsidR="002E54F0">
        <w:t>achieved</w:t>
      </w:r>
      <w:r w:rsidR="002E54F0" w:rsidRPr="00136830">
        <w:t xml:space="preserve"> </w:t>
      </w:r>
      <w:r w:rsidRPr="00136830">
        <w:t>with success</w:t>
      </w:r>
      <w:r w:rsidR="005E627F">
        <w:t xml:space="preserve"> by several project partners [11-12]</w:t>
      </w:r>
      <w:r w:rsidRPr="00136830">
        <w:t>.</w:t>
      </w:r>
    </w:p>
    <w:p w:rsidR="00C97623" w:rsidRPr="00FB7DBE" w:rsidRDefault="00C97623" w:rsidP="00A749DD">
      <w:pPr>
        <w:pStyle w:val="Lijstalinea"/>
        <w:numPr>
          <w:ilvl w:val="1"/>
          <w:numId w:val="22"/>
        </w:numPr>
        <w:spacing w:line="480" w:lineRule="auto"/>
        <w:jc w:val="both"/>
      </w:pPr>
      <w:r w:rsidRPr="00FB7DBE">
        <w:rPr>
          <w:rFonts w:cs="Cambria"/>
          <w:lang w:eastAsia="nl-BE"/>
        </w:rPr>
        <w:t>Statistical analysis</w:t>
      </w:r>
    </w:p>
    <w:p w:rsidR="008437D7" w:rsidRPr="00CC1DFE" w:rsidRDefault="008437D7" w:rsidP="00A749DD">
      <w:pPr>
        <w:spacing w:line="480" w:lineRule="auto"/>
        <w:jc w:val="both"/>
        <w:rPr>
          <w:rFonts w:cs="Cambria"/>
          <w:lang w:val="en-US" w:eastAsia="nl-BE"/>
        </w:rPr>
      </w:pPr>
      <w:r w:rsidRPr="008437D7">
        <w:rPr>
          <w:lang w:val="en-GB" w:eastAsia="es-ES"/>
        </w:rPr>
        <w:t xml:space="preserve">We integrated </w:t>
      </w:r>
      <w:r>
        <w:rPr>
          <w:lang w:val="en-GB" w:eastAsia="es-ES"/>
        </w:rPr>
        <w:t>our data</w:t>
      </w:r>
      <w:r w:rsidRPr="008437D7">
        <w:rPr>
          <w:lang w:val="en-GB" w:eastAsia="es-ES"/>
        </w:rPr>
        <w:t xml:space="preserve"> by means of common nursing unit and hospital identifiers. </w:t>
      </w:r>
      <w:r w:rsidRPr="00136830">
        <w:rPr>
          <w:lang w:val="en-US" w:eastAsia="nl-BE"/>
        </w:rPr>
        <w:t>This meta-database contained information at the hospital level (organizational characteristics of nursing care and hospital characteristics for risk adjustment), the individual nurse level (nurse survey data on nurse wellbeing, quality of care, patient safety, and nurse characteristics for risk adjustment) and the patient level (patient survey data on patient satisfaction with care and patient outcomes data on patient mortality, length of stay, and patient risk-adjustment data including patient age, gender, type of admission and co-morbidity).</w:t>
      </w:r>
    </w:p>
    <w:p w:rsidR="00FB7DBE" w:rsidRPr="0052290F" w:rsidRDefault="008437D7" w:rsidP="00FB03C0">
      <w:pPr>
        <w:spacing w:line="480" w:lineRule="auto"/>
        <w:jc w:val="both"/>
        <w:rPr>
          <w:rFonts w:cs="Arial"/>
          <w:lang w:val="en-GB"/>
        </w:rPr>
      </w:pPr>
      <w:r w:rsidRPr="00FB03C0">
        <w:rPr>
          <w:lang w:val="en-US" w:eastAsia="nl-BE"/>
        </w:rPr>
        <w:t>T</w:t>
      </w:r>
      <w:r w:rsidR="00C97623" w:rsidRPr="00FB03C0">
        <w:rPr>
          <w:lang w:val="en-US" w:eastAsia="nl-BE"/>
        </w:rPr>
        <w:t xml:space="preserve">wo major types of analysis were done. </w:t>
      </w:r>
      <w:r w:rsidR="00C97623" w:rsidRPr="00CC1DFE">
        <w:rPr>
          <w:lang w:val="en-US" w:eastAsia="nl-BE"/>
        </w:rPr>
        <w:t xml:space="preserve">The first involved descriptive and comparative analyses of variables reflecting commonalities and differences, policy implications and the strengths and weaknesses of the nurse workforce across countries. </w:t>
      </w:r>
      <w:r w:rsidR="00C97623" w:rsidRPr="00FB03C0">
        <w:rPr>
          <w:rFonts w:cs="Calibri"/>
          <w:lang w:val="en-US" w:eastAsia="nl-BE"/>
        </w:rPr>
        <w:t xml:space="preserve">The second type of analysis involved the </w:t>
      </w:r>
      <w:r w:rsidR="00C97623" w:rsidRPr="0052290F">
        <w:rPr>
          <w:rFonts w:cs="Calibri"/>
          <w:lang w:val="en-US" w:eastAsia="nl-BE"/>
        </w:rPr>
        <w:t xml:space="preserve">modeling of relationships between </w:t>
      </w:r>
      <w:r w:rsidR="00C97623" w:rsidRPr="0052290F">
        <w:rPr>
          <w:lang w:val="en-US"/>
        </w:rPr>
        <w:t>organizational characteristics of nursing care and nurse wellbeing, patient satisfaction, and patient clinical outcomes</w:t>
      </w:r>
      <w:r w:rsidR="00C97623" w:rsidRPr="0052290F">
        <w:rPr>
          <w:rFonts w:cs="Calibri"/>
          <w:lang w:val="en-US" w:eastAsia="nl-BE"/>
        </w:rPr>
        <w:t>.</w:t>
      </w:r>
      <w:r w:rsidR="00FB7DBE" w:rsidRPr="0052290F">
        <w:rPr>
          <w:lang w:val="en-US"/>
        </w:rPr>
        <w:t xml:space="preserve"> In order to model the relationship </w:t>
      </w:r>
      <w:r w:rsidR="00FB7DBE" w:rsidRPr="0052290F">
        <w:rPr>
          <w:rFonts w:cs="Calibri"/>
          <w:lang w:val="en-US" w:eastAsia="nl-BE"/>
        </w:rPr>
        <w:t xml:space="preserve">between </w:t>
      </w:r>
      <w:r w:rsidR="00FB7DBE" w:rsidRPr="0052290F">
        <w:rPr>
          <w:lang w:val="en-US"/>
        </w:rPr>
        <w:t xml:space="preserve">organizational characteristics of nursing care and nurse wellbeing, patient satisfaction, and patient clinical outcomes we calculated from the </w:t>
      </w:r>
      <w:r w:rsidR="00FB7DBE" w:rsidRPr="0052290F">
        <w:rPr>
          <w:lang w:val="en-GB"/>
        </w:rPr>
        <w:t xml:space="preserve">nurse survey hospital aggregated measures of nurse staffing, nurse practicing environments, and nurse education. </w:t>
      </w:r>
      <w:r w:rsidR="00FB7DBE" w:rsidRPr="0052290F">
        <w:rPr>
          <w:rFonts w:cs="Cambria"/>
          <w:lang w:val="en-GB" w:eastAsia="nl-BE"/>
        </w:rPr>
        <w:t>We controlled for hospital characteristics including size, teaching status, and technology (open heart surgery and/or organ transplantation defined high technology hospitals).</w:t>
      </w:r>
      <w:r w:rsidR="00FB03C0" w:rsidRPr="0052290F">
        <w:rPr>
          <w:rFonts w:cs="Cambria"/>
          <w:color w:val="000000"/>
          <w:lang w:val="en-US"/>
        </w:rPr>
        <w:t xml:space="preserve"> In analyzing nurse outcomes, we adjusted regression estimates (odds ratios) at the hospital-level for between-hospital (and between-country) differences in the composition of nurses — their age, sex, full-time employment status, and specialty — by a multi-level model structure in which nurses are nested within hospitals and countries. In analyzing patient outcomes with patient-level data in Europe, similar adjustments were made using a multi-level model in which patients are nested within hospitals and countries. Odds ratios for United </w:t>
      </w:r>
      <w:r w:rsidR="00FB03C0" w:rsidRPr="0052290F">
        <w:rPr>
          <w:rFonts w:cs="Cambria"/>
          <w:color w:val="000000"/>
          <w:lang w:val="en-US"/>
        </w:rPr>
        <w:lastRenderedPageBreak/>
        <w:t>States hospitals were estimated "about" the mean odds ratio using coefficients from linear regression models as individual data are not available. Robust logistic regression with clustering provided the same result as hierarchical modeling and the results are more straightforward to interpret.</w:t>
      </w:r>
    </w:p>
    <w:p w:rsidR="00855B30" w:rsidRPr="0052290F" w:rsidRDefault="00855B30" w:rsidP="00A749DD">
      <w:pPr>
        <w:pStyle w:val="Lijstalinea"/>
        <w:numPr>
          <w:ilvl w:val="0"/>
          <w:numId w:val="22"/>
        </w:numPr>
        <w:spacing w:line="480" w:lineRule="auto"/>
        <w:jc w:val="both"/>
        <w:rPr>
          <w:rFonts w:cs="Cambria"/>
        </w:rPr>
      </w:pPr>
      <w:r w:rsidRPr="0052290F">
        <w:rPr>
          <w:rFonts w:cs="Cambria"/>
        </w:rPr>
        <w:t>Results</w:t>
      </w:r>
    </w:p>
    <w:p w:rsidR="00C1690F" w:rsidRPr="0052290F" w:rsidRDefault="00C1690F" w:rsidP="00C1690F">
      <w:pPr>
        <w:spacing w:line="480" w:lineRule="auto"/>
        <w:jc w:val="both"/>
        <w:rPr>
          <w:rFonts w:cs="Cambria"/>
          <w:lang w:val="en-US"/>
        </w:rPr>
      </w:pPr>
      <w:r w:rsidRPr="0052290F">
        <w:rPr>
          <w:rFonts w:cs="Cambria"/>
          <w:lang w:val="en-US"/>
        </w:rPr>
        <w:t xml:space="preserve">Findings from the nurse and patient survey </w:t>
      </w:r>
      <w:r w:rsidR="00B93129">
        <w:rPr>
          <w:rFonts w:cs="Cambria"/>
          <w:lang w:val="en-US"/>
        </w:rPr>
        <w:t>were</w:t>
      </w:r>
      <w:r w:rsidRPr="0052290F">
        <w:rPr>
          <w:rFonts w:cs="Cambria"/>
          <w:lang w:val="en-US"/>
        </w:rPr>
        <w:t xml:space="preserve"> published in the British Medical Journal. The section</w:t>
      </w:r>
      <w:r w:rsidR="002E54F0">
        <w:rPr>
          <w:rFonts w:cs="Cambria"/>
          <w:lang w:val="en-US"/>
        </w:rPr>
        <w:t xml:space="preserve"> below</w:t>
      </w:r>
      <w:r w:rsidRPr="0052290F">
        <w:rPr>
          <w:rFonts w:cs="Cambria"/>
          <w:lang w:val="en-US"/>
        </w:rPr>
        <w:t xml:space="preserve"> is extracted from this </w:t>
      </w:r>
      <w:r w:rsidR="00D02A7E" w:rsidRPr="0052290F">
        <w:rPr>
          <w:rFonts w:cs="Cambria"/>
          <w:lang w:val="en-US"/>
        </w:rPr>
        <w:t>article.</w:t>
      </w:r>
    </w:p>
    <w:p w:rsidR="00855B30" w:rsidRPr="0052290F" w:rsidRDefault="00855B30" w:rsidP="00A749DD">
      <w:pPr>
        <w:spacing w:line="480" w:lineRule="auto"/>
        <w:jc w:val="both"/>
        <w:rPr>
          <w:rFonts w:cs="Cambria"/>
          <w:lang w:val="en-US" w:eastAsia="nl-BE"/>
        </w:rPr>
      </w:pPr>
      <w:r w:rsidRPr="0052290F">
        <w:rPr>
          <w:rFonts w:cs="Cambria"/>
          <w:lang w:val="en-US"/>
        </w:rPr>
        <w:t xml:space="preserve">Table 3 shows the difference in nurse workloads across our sample of hospitals. The average patient-to-nurse ratio across hospitals (and across all shifts) ranges from 5.4 in Norway to 13.0 in Germany, and the average ratio of patient-to-all-care-staff (including professional nurses or registered nurses and non- registered nurses) ranges from 3.3 in Norway to 10.5 in Germany. </w:t>
      </w:r>
    </w:p>
    <w:p w:rsidR="00855B30" w:rsidRPr="0052290F" w:rsidRDefault="00FC6AB2" w:rsidP="00A749DD">
      <w:pPr>
        <w:spacing w:line="480" w:lineRule="auto"/>
        <w:jc w:val="both"/>
        <w:rPr>
          <w:rFonts w:cs="Cambria"/>
          <w:lang w:val="en-US" w:eastAsia="nl-BE"/>
        </w:rPr>
      </w:pPr>
      <w:r w:rsidRPr="0052290F">
        <w:rPr>
          <w:lang w:val="en-US"/>
        </w:rPr>
        <w:t>Table 3. Nurse staffing in 12 RN4CAST countries</w:t>
      </w:r>
    </w:p>
    <w:tbl>
      <w:tblPr>
        <w:tblStyle w:val="Tabelraster"/>
        <w:tblW w:w="5000" w:type="pct"/>
        <w:tblLook w:val="04A0"/>
      </w:tblPr>
      <w:tblGrid>
        <w:gridCol w:w="2581"/>
        <w:gridCol w:w="1677"/>
        <w:gridCol w:w="1677"/>
        <w:gridCol w:w="1677"/>
        <w:gridCol w:w="1676"/>
      </w:tblGrid>
      <w:tr w:rsidR="00855B30" w:rsidRPr="00136830" w:rsidTr="001A7B0A">
        <w:tc>
          <w:tcPr>
            <w:tcW w:w="5000" w:type="pct"/>
            <w:gridSpan w:val="5"/>
            <w:vAlign w:val="center"/>
          </w:tcPr>
          <w:p w:rsidR="00855B30" w:rsidRPr="00136830" w:rsidRDefault="00855B30" w:rsidP="001D4D92">
            <w:pPr>
              <w:jc w:val="center"/>
              <w:rPr>
                <w:b/>
                <w:lang w:val="en-US" w:bidi="en-US"/>
              </w:rPr>
            </w:pPr>
            <w:r w:rsidRPr="00136830">
              <w:rPr>
                <w:b/>
                <w:lang w:val="en-US" w:bidi="en-US"/>
              </w:rPr>
              <w:t>Nurse staffing ratio of</w:t>
            </w:r>
          </w:p>
        </w:tc>
      </w:tr>
      <w:tr w:rsidR="00855B30" w:rsidRPr="00136830" w:rsidTr="00957EB8">
        <w:tc>
          <w:tcPr>
            <w:tcW w:w="1389" w:type="pct"/>
            <w:vAlign w:val="center"/>
          </w:tcPr>
          <w:p w:rsidR="00855B30" w:rsidRPr="00136830" w:rsidRDefault="00855B30" w:rsidP="001D4D92">
            <w:pPr>
              <w:jc w:val="center"/>
              <w:rPr>
                <w:b/>
                <w:lang w:val="en-US" w:bidi="en-US"/>
              </w:rPr>
            </w:pPr>
            <w:r w:rsidRPr="00136830">
              <w:rPr>
                <w:b/>
                <w:lang w:val="en-US" w:bidi="en-US"/>
              </w:rPr>
              <w:t>Country</w:t>
            </w:r>
          </w:p>
        </w:tc>
        <w:tc>
          <w:tcPr>
            <w:tcW w:w="1806" w:type="pct"/>
            <w:gridSpan w:val="2"/>
            <w:vAlign w:val="center"/>
          </w:tcPr>
          <w:p w:rsidR="00855B30" w:rsidRPr="00136830" w:rsidRDefault="00855B30" w:rsidP="001D4D92">
            <w:pPr>
              <w:jc w:val="center"/>
              <w:rPr>
                <w:b/>
                <w:lang w:val="en-US" w:bidi="en-US"/>
              </w:rPr>
            </w:pPr>
            <w:r w:rsidRPr="00136830">
              <w:rPr>
                <w:b/>
                <w:lang w:val="en-US" w:bidi="en-US"/>
              </w:rPr>
              <w:t>Patients/RNs</w:t>
            </w:r>
          </w:p>
        </w:tc>
        <w:tc>
          <w:tcPr>
            <w:tcW w:w="1806" w:type="pct"/>
            <w:gridSpan w:val="2"/>
            <w:vAlign w:val="center"/>
          </w:tcPr>
          <w:p w:rsidR="00855B30" w:rsidRPr="00136830" w:rsidRDefault="00855B30" w:rsidP="001D4D92">
            <w:pPr>
              <w:jc w:val="center"/>
              <w:rPr>
                <w:b/>
                <w:lang w:val="en-US" w:bidi="en-US"/>
              </w:rPr>
            </w:pPr>
            <w:r w:rsidRPr="00136830">
              <w:rPr>
                <w:b/>
                <w:lang w:val="en-US" w:bidi="en-US"/>
              </w:rPr>
              <w:t>Patients/Total Staff</w:t>
            </w:r>
          </w:p>
        </w:tc>
      </w:tr>
      <w:tr w:rsidR="00855B30" w:rsidRPr="00136830" w:rsidTr="00957EB8">
        <w:tc>
          <w:tcPr>
            <w:tcW w:w="1389" w:type="pct"/>
            <w:vAlign w:val="center"/>
          </w:tcPr>
          <w:p w:rsidR="00855B30" w:rsidRPr="00136830" w:rsidRDefault="00855B30" w:rsidP="001D4D92">
            <w:pPr>
              <w:jc w:val="center"/>
              <w:rPr>
                <w:lang w:val="en-US" w:bidi="en-US"/>
              </w:rPr>
            </w:pPr>
          </w:p>
        </w:tc>
        <w:tc>
          <w:tcPr>
            <w:tcW w:w="903" w:type="pct"/>
            <w:vAlign w:val="center"/>
          </w:tcPr>
          <w:p w:rsidR="00855B30" w:rsidRPr="00136830" w:rsidRDefault="00855B30" w:rsidP="001D4D92">
            <w:pPr>
              <w:jc w:val="center"/>
              <w:rPr>
                <w:b/>
                <w:lang w:val="en-US" w:bidi="en-US"/>
              </w:rPr>
            </w:pPr>
            <w:r w:rsidRPr="00136830">
              <w:rPr>
                <w:b/>
                <w:lang w:val="en-US" w:bidi="en-US"/>
              </w:rPr>
              <w:t>Mean</w:t>
            </w:r>
          </w:p>
        </w:tc>
        <w:tc>
          <w:tcPr>
            <w:tcW w:w="903" w:type="pct"/>
            <w:vAlign w:val="center"/>
          </w:tcPr>
          <w:p w:rsidR="00855B30" w:rsidRPr="00136830" w:rsidRDefault="00855B30" w:rsidP="001D4D92">
            <w:pPr>
              <w:jc w:val="center"/>
              <w:rPr>
                <w:b/>
                <w:lang w:val="en-US" w:bidi="en-US"/>
              </w:rPr>
            </w:pPr>
            <w:r w:rsidRPr="00136830">
              <w:rPr>
                <w:b/>
                <w:lang w:val="en-US" w:bidi="en-US"/>
              </w:rPr>
              <w:t>SD</w:t>
            </w:r>
          </w:p>
        </w:tc>
        <w:tc>
          <w:tcPr>
            <w:tcW w:w="903" w:type="pct"/>
            <w:vAlign w:val="center"/>
          </w:tcPr>
          <w:p w:rsidR="00855B30" w:rsidRPr="00136830" w:rsidRDefault="00855B30" w:rsidP="001D4D92">
            <w:pPr>
              <w:jc w:val="center"/>
              <w:rPr>
                <w:b/>
                <w:lang w:val="en-US" w:bidi="en-US"/>
              </w:rPr>
            </w:pPr>
            <w:r w:rsidRPr="00136830">
              <w:rPr>
                <w:b/>
                <w:lang w:val="en-US" w:bidi="en-US"/>
              </w:rPr>
              <w:t>Mean</w:t>
            </w:r>
          </w:p>
        </w:tc>
        <w:tc>
          <w:tcPr>
            <w:tcW w:w="903" w:type="pct"/>
            <w:vAlign w:val="center"/>
          </w:tcPr>
          <w:p w:rsidR="00A2293F" w:rsidRDefault="00855B30" w:rsidP="001D4D92">
            <w:pPr>
              <w:jc w:val="center"/>
              <w:rPr>
                <w:b/>
                <w:lang w:val="en-US" w:bidi="en-US"/>
              </w:rPr>
            </w:pPr>
            <w:r w:rsidRPr="00136830">
              <w:rPr>
                <w:b/>
                <w:lang w:val="en-US" w:bidi="en-US"/>
              </w:rPr>
              <w:t>SD</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Belgium</w:t>
            </w:r>
          </w:p>
        </w:tc>
        <w:tc>
          <w:tcPr>
            <w:tcW w:w="903" w:type="pct"/>
            <w:vAlign w:val="center"/>
          </w:tcPr>
          <w:p w:rsidR="00855B30" w:rsidRPr="00136830" w:rsidRDefault="00855B30" w:rsidP="001D4D92">
            <w:pPr>
              <w:jc w:val="center"/>
              <w:rPr>
                <w:lang w:val="en-US" w:bidi="en-US"/>
              </w:rPr>
            </w:pPr>
            <w:r w:rsidRPr="00136830">
              <w:rPr>
                <w:lang w:val="en-US" w:bidi="en-US"/>
              </w:rPr>
              <w:t>10.7</w:t>
            </w:r>
          </w:p>
        </w:tc>
        <w:tc>
          <w:tcPr>
            <w:tcW w:w="903" w:type="pct"/>
            <w:vAlign w:val="center"/>
          </w:tcPr>
          <w:p w:rsidR="00855B30" w:rsidRPr="00136830" w:rsidRDefault="00855B30" w:rsidP="001D4D92">
            <w:pPr>
              <w:jc w:val="center"/>
              <w:rPr>
                <w:lang w:val="en-US" w:bidi="en-US"/>
              </w:rPr>
            </w:pPr>
            <w:r w:rsidRPr="00136830">
              <w:rPr>
                <w:lang w:val="en-US" w:bidi="en-US"/>
              </w:rPr>
              <w:t>2.2</w:t>
            </w:r>
          </w:p>
        </w:tc>
        <w:tc>
          <w:tcPr>
            <w:tcW w:w="903" w:type="pct"/>
            <w:vAlign w:val="center"/>
          </w:tcPr>
          <w:p w:rsidR="00855B30" w:rsidRPr="00136830" w:rsidRDefault="00855B30" w:rsidP="001D4D92">
            <w:pPr>
              <w:jc w:val="center"/>
              <w:rPr>
                <w:lang w:val="en-US" w:bidi="en-US"/>
              </w:rPr>
            </w:pPr>
            <w:r w:rsidRPr="00136830">
              <w:rPr>
                <w:lang w:val="en-US" w:bidi="en-US"/>
              </w:rPr>
              <w:t>7.9</w:t>
            </w:r>
          </w:p>
        </w:tc>
        <w:tc>
          <w:tcPr>
            <w:tcW w:w="903" w:type="pct"/>
            <w:vAlign w:val="center"/>
          </w:tcPr>
          <w:p w:rsidR="00A2293F" w:rsidRDefault="00855B30" w:rsidP="001D4D92">
            <w:pPr>
              <w:jc w:val="center"/>
              <w:rPr>
                <w:lang w:val="en-US" w:bidi="en-US"/>
              </w:rPr>
            </w:pPr>
            <w:r w:rsidRPr="00136830">
              <w:rPr>
                <w:lang w:val="en-US" w:bidi="en-US"/>
              </w:rPr>
              <w:t>1.7</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England</w:t>
            </w:r>
          </w:p>
        </w:tc>
        <w:tc>
          <w:tcPr>
            <w:tcW w:w="903" w:type="pct"/>
            <w:vAlign w:val="center"/>
          </w:tcPr>
          <w:p w:rsidR="00855B30" w:rsidRPr="00136830" w:rsidRDefault="00855B30" w:rsidP="001D4D92">
            <w:pPr>
              <w:jc w:val="center"/>
              <w:rPr>
                <w:lang w:val="en-US" w:bidi="en-US"/>
              </w:rPr>
            </w:pPr>
            <w:r w:rsidRPr="00136830">
              <w:rPr>
                <w:lang w:val="en-US" w:bidi="en-US"/>
              </w:rPr>
              <w:t>8.6</w:t>
            </w:r>
          </w:p>
        </w:tc>
        <w:tc>
          <w:tcPr>
            <w:tcW w:w="903" w:type="pct"/>
            <w:vAlign w:val="center"/>
          </w:tcPr>
          <w:p w:rsidR="00855B30" w:rsidRPr="00136830" w:rsidRDefault="00855B30" w:rsidP="001D4D92">
            <w:pPr>
              <w:jc w:val="center"/>
              <w:rPr>
                <w:lang w:val="en-US" w:bidi="en-US"/>
              </w:rPr>
            </w:pPr>
            <w:r w:rsidRPr="00136830">
              <w:rPr>
                <w:lang w:val="en-US" w:bidi="en-US"/>
              </w:rPr>
              <w:t>1.5</w:t>
            </w:r>
          </w:p>
        </w:tc>
        <w:tc>
          <w:tcPr>
            <w:tcW w:w="903" w:type="pct"/>
            <w:vAlign w:val="center"/>
          </w:tcPr>
          <w:p w:rsidR="00855B30" w:rsidRPr="00136830" w:rsidRDefault="00855B30" w:rsidP="001D4D92">
            <w:pPr>
              <w:jc w:val="center"/>
              <w:rPr>
                <w:lang w:val="en-US" w:bidi="en-US"/>
              </w:rPr>
            </w:pPr>
            <w:r w:rsidRPr="00136830">
              <w:rPr>
                <w:lang w:val="en-US" w:bidi="en-US"/>
              </w:rPr>
              <w:t>4.8</w:t>
            </w:r>
          </w:p>
        </w:tc>
        <w:tc>
          <w:tcPr>
            <w:tcW w:w="903" w:type="pct"/>
            <w:vAlign w:val="center"/>
          </w:tcPr>
          <w:p w:rsidR="00A2293F" w:rsidRDefault="00855B30" w:rsidP="001D4D92">
            <w:pPr>
              <w:jc w:val="center"/>
              <w:rPr>
                <w:lang w:val="en-US" w:bidi="en-US"/>
              </w:rPr>
            </w:pPr>
            <w:r w:rsidRPr="00136830">
              <w:rPr>
                <w:lang w:val="en-US" w:bidi="en-US"/>
              </w:rPr>
              <w:t>0.6</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Finland</w:t>
            </w:r>
          </w:p>
        </w:tc>
        <w:tc>
          <w:tcPr>
            <w:tcW w:w="903" w:type="pct"/>
            <w:vAlign w:val="center"/>
          </w:tcPr>
          <w:p w:rsidR="00855B30" w:rsidRPr="00136830" w:rsidRDefault="00855B30" w:rsidP="001D4D92">
            <w:pPr>
              <w:jc w:val="center"/>
              <w:rPr>
                <w:lang w:val="en-US" w:bidi="en-US"/>
              </w:rPr>
            </w:pPr>
            <w:r w:rsidRPr="00136830">
              <w:rPr>
                <w:lang w:val="en-US" w:bidi="en-US"/>
              </w:rPr>
              <w:t>8.3</w:t>
            </w:r>
          </w:p>
        </w:tc>
        <w:tc>
          <w:tcPr>
            <w:tcW w:w="903" w:type="pct"/>
            <w:vAlign w:val="center"/>
          </w:tcPr>
          <w:p w:rsidR="00855B30" w:rsidRPr="00136830" w:rsidRDefault="00855B30" w:rsidP="001D4D92">
            <w:pPr>
              <w:jc w:val="center"/>
              <w:rPr>
                <w:lang w:val="en-US" w:bidi="en-US"/>
              </w:rPr>
            </w:pPr>
            <w:r w:rsidRPr="00136830">
              <w:rPr>
                <w:lang w:val="en-US" w:bidi="en-US"/>
              </w:rPr>
              <w:t>2.2</w:t>
            </w:r>
          </w:p>
        </w:tc>
        <w:tc>
          <w:tcPr>
            <w:tcW w:w="903" w:type="pct"/>
            <w:vAlign w:val="center"/>
          </w:tcPr>
          <w:p w:rsidR="00855B30" w:rsidRPr="00136830" w:rsidRDefault="00855B30" w:rsidP="001D4D92">
            <w:pPr>
              <w:jc w:val="center"/>
              <w:rPr>
                <w:lang w:val="en-US" w:bidi="en-US"/>
              </w:rPr>
            </w:pPr>
            <w:r w:rsidRPr="00136830">
              <w:rPr>
                <w:lang w:val="en-US" w:bidi="en-US"/>
              </w:rPr>
              <w:t>5.3</w:t>
            </w:r>
          </w:p>
        </w:tc>
        <w:tc>
          <w:tcPr>
            <w:tcW w:w="903" w:type="pct"/>
            <w:vAlign w:val="center"/>
          </w:tcPr>
          <w:p w:rsidR="00A2293F" w:rsidRDefault="00855B30" w:rsidP="001D4D92">
            <w:pPr>
              <w:jc w:val="center"/>
              <w:rPr>
                <w:lang w:val="en-US" w:bidi="en-US"/>
              </w:rPr>
            </w:pPr>
            <w:r w:rsidRPr="00136830">
              <w:rPr>
                <w:lang w:val="en-US" w:bidi="en-US"/>
              </w:rPr>
              <w:t>0.8</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Germany</w:t>
            </w:r>
          </w:p>
        </w:tc>
        <w:tc>
          <w:tcPr>
            <w:tcW w:w="903" w:type="pct"/>
            <w:vAlign w:val="center"/>
          </w:tcPr>
          <w:p w:rsidR="00855B30" w:rsidRPr="00136830" w:rsidRDefault="00855B30" w:rsidP="001D4D92">
            <w:pPr>
              <w:jc w:val="center"/>
              <w:rPr>
                <w:lang w:val="en-US" w:bidi="en-US"/>
              </w:rPr>
            </w:pPr>
            <w:r w:rsidRPr="00136830">
              <w:rPr>
                <w:lang w:val="en-US" w:bidi="en-US"/>
              </w:rPr>
              <w:t>13.0</w:t>
            </w:r>
          </w:p>
        </w:tc>
        <w:tc>
          <w:tcPr>
            <w:tcW w:w="903" w:type="pct"/>
            <w:vAlign w:val="center"/>
          </w:tcPr>
          <w:p w:rsidR="00855B30" w:rsidRPr="00136830" w:rsidRDefault="00855B30" w:rsidP="001D4D92">
            <w:pPr>
              <w:jc w:val="center"/>
              <w:rPr>
                <w:lang w:val="en-US" w:bidi="en-US"/>
              </w:rPr>
            </w:pPr>
            <w:r w:rsidRPr="00136830">
              <w:rPr>
                <w:lang w:val="en-US" w:bidi="en-US"/>
              </w:rPr>
              <w:t>2.3</w:t>
            </w:r>
          </w:p>
        </w:tc>
        <w:tc>
          <w:tcPr>
            <w:tcW w:w="903" w:type="pct"/>
            <w:vAlign w:val="center"/>
          </w:tcPr>
          <w:p w:rsidR="00855B30" w:rsidRPr="00136830" w:rsidRDefault="00855B30" w:rsidP="001D4D92">
            <w:pPr>
              <w:jc w:val="center"/>
              <w:rPr>
                <w:lang w:val="en-US" w:bidi="en-US"/>
              </w:rPr>
            </w:pPr>
            <w:r w:rsidRPr="00136830">
              <w:rPr>
                <w:lang w:val="en-US" w:bidi="en-US"/>
              </w:rPr>
              <w:t>10.5</w:t>
            </w:r>
          </w:p>
        </w:tc>
        <w:tc>
          <w:tcPr>
            <w:tcW w:w="903" w:type="pct"/>
            <w:vAlign w:val="center"/>
          </w:tcPr>
          <w:p w:rsidR="00A2293F" w:rsidRDefault="00855B30" w:rsidP="001D4D92">
            <w:pPr>
              <w:jc w:val="center"/>
              <w:rPr>
                <w:lang w:val="en-US" w:bidi="en-US"/>
              </w:rPr>
            </w:pPr>
            <w:r w:rsidRPr="00136830">
              <w:rPr>
                <w:lang w:val="en-US" w:bidi="en-US"/>
              </w:rPr>
              <w:t>1.6</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Greece</w:t>
            </w:r>
          </w:p>
        </w:tc>
        <w:tc>
          <w:tcPr>
            <w:tcW w:w="903" w:type="pct"/>
            <w:vAlign w:val="center"/>
          </w:tcPr>
          <w:p w:rsidR="00855B30" w:rsidRPr="00136830" w:rsidRDefault="00855B30" w:rsidP="001D4D92">
            <w:pPr>
              <w:jc w:val="center"/>
              <w:rPr>
                <w:lang w:val="en-US" w:bidi="en-US"/>
              </w:rPr>
            </w:pPr>
            <w:r w:rsidRPr="00136830">
              <w:rPr>
                <w:lang w:val="en-US" w:bidi="en-US"/>
              </w:rPr>
              <w:t>10.2</w:t>
            </w:r>
          </w:p>
        </w:tc>
        <w:tc>
          <w:tcPr>
            <w:tcW w:w="903" w:type="pct"/>
            <w:vAlign w:val="center"/>
          </w:tcPr>
          <w:p w:rsidR="00855B30" w:rsidRPr="00136830" w:rsidRDefault="00855B30" w:rsidP="001D4D92">
            <w:pPr>
              <w:jc w:val="center"/>
              <w:rPr>
                <w:lang w:val="en-US" w:bidi="en-US"/>
              </w:rPr>
            </w:pPr>
            <w:r w:rsidRPr="00136830">
              <w:rPr>
                <w:lang w:val="en-US" w:bidi="en-US"/>
              </w:rPr>
              <w:t>2.8</w:t>
            </w:r>
          </w:p>
        </w:tc>
        <w:tc>
          <w:tcPr>
            <w:tcW w:w="903" w:type="pct"/>
            <w:vAlign w:val="center"/>
          </w:tcPr>
          <w:p w:rsidR="00855B30" w:rsidRPr="00136830" w:rsidRDefault="00855B30" w:rsidP="001D4D92">
            <w:pPr>
              <w:jc w:val="center"/>
              <w:rPr>
                <w:lang w:val="en-US" w:bidi="en-US"/>
              </w:rPr>
            </w:pPr>
            <w:r w:rsidRPr="00136830">
              <w:rPr>
                <w:lang w:val="en-US" w:bidi="en-US"/>
              </w:rPr>
              <w:t>6.2</w:t>
            </w:r>
          </w:p>
        </w:tc>
        <w:tc>
          <w:tcPr>
            <w:tcW w:w="903" w:type="pct"/>
            <w:vAlign w:val="center"/>
          </w:tcPr>
          <w:p w:rsidR="00A2293F" w:rsidRDefault="00855B30" w:rsidP="001D4D92">
            <w:pPr>
              <w:jc w:val="center"/>
              <w:rPr>
                <w:lang w:val="en-US" w:bidi="en-US"/>
              </w:rPr>
            </w:pPr>
            <w:r w:rsidRPr="00136830">
              <w:rPr>
                <w:lang w:val="en-US" w:bidi="en-US"/>
              </w:rPr>
              <w:t>2.1</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Ireland</w:t>
            </w:r>
          </w:p>
        </w:tc>
        <w:tc>
          <w:tcPr>
            <w:tcW w:w="903" w:type="pct"/>
            <w:vAlign w:val="center"/>
          </w:tcPr>
          <w:p w:rsidR="00855B30" w:rsidRPr="00136830" w:rsidRDefault="00855B30" w:rsidP="001D4D92">
            <w:pPr>
              <w:jc w:val="center"/>
              <w:rPr>
                <w:lang w:val="en-US" w:bidi="en-US"/>
              </w:rPr>
            </w:pPr>
            <w:r w:rsidRPr="00136830">
              <w:rPr>
                <w:lang w:val="en-US" w:bidi="en-US"/>
              </w:rPr>
              <w:t>6.9</w:t>
            </w:r>
          </w:p>
        </w:tc>
        <w:tc>
          <w:tcPr>
            <w:tcW w:w="903" w:type="pct"/>
            <w:vAlign w:val="center"/>
          </w:tcPr>
          <w:p w:rsidR="00855B30" w:rsidRPr="00136830" w:rsidRDefault="00855B30" w:rsidP="001D4D92">
            <w:pPr>
              <w:jc w:val="center"/>
              <w:rPr>
                <w:lang w:val="en-US" w:bidi="en-US"/>
              </w:rPr>
            </w:pPr>
            <w:r w:rsidRPr="00136830">
              <w:rPr>
                <w:lang w:val="en-US" w:bidi="en-US"/>
              </w:rPr>
              <w:t>1.0</w:t>
            </w:r>
          </w:p>
        </w:tc>
        <w:tc>
          <w:tcPr>
            <w:tcW w:w="903" w:type="pct"/>
            <w:vAlign w:val="center"/>
          </w:tcPr>
          <w:p w:rsidR="00855B30" w:rsidRPr="00136830" w:rsidRDefault="00855B30" w:rsidP="001D4D92">
            <w:pPr>
              <w:jc w:val="center"/>
              <w:rPr>
                <w:lang w:val="en-US" w:bidi="en-US"/>
              </w:rPr>
            </w:pPr>
            <w:r w:rsidRPr="00136830">
              <w:rPr>
                <w:lang w:val="en-US" w:bidi="en-US"/>
              </w:rPr>
              <w:t>5.0</w:t>
            </w:r>
          </w:p>
        </w:tc>
        <w:tc>
          <w:tcPr>
            <w:tcW w:w="903" w:type="pct"/>
            <w:vAlign w:val="center"/>
          </w:tcPr>
          <w:p w:rsidR="00A2293F" w:rsidRDefault="00855B30" w:rsidP="001D4D92">
            <w:pPr>
              <w:jc w:val="center"/>
              <w:rPr>
                <w:lang w:val="en-US" w:bidi="en-US"/>
              </w:rPr>
            </w:pPr>
            <w:r w:rsidRPr="00136830">
              <w:rPr>
                <w:lang w:val="en-US" w:bidi="en-US"/>
              </w:rPr>
              <w:t>0.8</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Netherlands</w:t>
            </w:r>
          </w:p>
        </w:tc>
        <w:tc>
          <w:tcPr>
            <w:tcW w:w="903" w:type="pct"/>
            <w:vAlign w:val="center"/>
          </w:tcPr>
          <w:p w:rsidR="00855B30" w:rsidRPr="00136830" w:rsidRDefault="00855B30" w:rsidP="001D4D92">
            <w:pPr>
              <w:jc w:val="center"/>
              <w:rPr>
                <w:lang w:val="en-US" w:bidi="en-US"/>
              </w:rPr>
            </w:pPr>
            <w:r w:rsidRPr="00136830">
              <w:rPr>
                <w:lang w:val="en-US" w:bidi="en-US"/>
              </w:rPr>
              <w:t>7.0</w:t>
            </w:r>
          </w:p>
        </w:tc>
        <w:tc>
          <w:tcPr>
            <w:tcW w:w="903" w:type="pct"/>
            <w:vAlign w:val="center"/>
          </w:tcPr>
          <w:p w:rsidR="00855B30" w:rsidRPr="00136830" w:rsidRDefault="00855B30" w:rsidP="001D4D92">
            <w:pPr>
              <w:jc w:val="center"/>
              <w:rPr>
                <w:lang w:val="en-US" w:bidi="en-US"/>
              </w:rPr>
            </w:pPr>
            <w:r w:rsidRPr="00136830">
              <w:rPr>
                <w:lang w:val="en-US" w:bidi="en-US"/>
              </w:rPr>
              <w:t>0.8</w:t>
            </w:r>
          </w:p>
        </w:tc>
        <w:tc>
          <w:tcPr>
            <w:tcW w:w="903" w:type="pct"/>
            <w:vAlign w:val="center"/>
          </w:tcPr>
          <w:p w:rsidR="00855B30" w:rsidRPr="00136830" w:rsidRDefault="00855B30" w:rsidP="001D4D92">
            <w:pPr>
              <w:jc w:val="center"/>
              <w:rPr>
                <w:lang w:val="en-US" w:bidi="en-US"/>
              </w:rPr>
            </w:pPr>
            <w:r w:rsidRPr="00136830">
              <w:rPr>
                <w:lang w:val="en-US" w:bidi="en-US"/>
              </w:rPr>
              <w:t>5.0</w:t>
            </w:r>
          </w:p>
        </w:tc>
        <w:tc>
          <w:tcPr>
            <w:tcW w:w="903" w:type="pct"/>
            <w:vAlign w:val="center"/>
          </w:tcPr>
          <w:p w:rsidR="00A2293F" w:rsidRDefault="00855B30" w:rsidP="001D4D92">
            <w:pPr>
              <w:jc w:val="center"/>
              <w:rPr>
                <w:lang w:val="en-US" w:bidi="en-US"/>
              </w:rPr>
            </w:pPr>
            <w:r w:rsidRPr="00136830">
              <w:rPr>
                <w:lang w:val="en-US" w:bidi="en-US"/>
              </w:rPr>
              <w:t>0.7</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Norway</w:t>
            </w:r>
          </w:p>
        </w:tc>
        <w:tc>
          <w:tcPr>
            <w:tcW w:w="903" w:type="pct"/>
            <w:vAlign w:val="center"/>
          </w:tcPr>
          <w:p w:rsidR="00855B30" w:rsidRPr="00136830" w:rsidRDefault="00855B30" w:rsidP="001D4D92">
            <w:pPr>
              <w:jc w:val="center"/>
              <w:rPr>
                <w:lang w:val="en-US" w:bidi="en-US"/>
              </w:rPr>
            </w:pPr>
            <w:r w:rsidRPr="00136830">
              <w:rPr>
                <w:lang w:val="en-US" w:bidi="en-US"/>
              </w:rPr>
              <w:t>5.4</w:t>
            </w:r>
          </w:p>
        </w:tc>
        <w:tc>
          <w:tcPr>
            <w:tcW w:w="903" w:type="pct"/>
            <w:vAlign w:val="center"/>
          </w:tcPr>
          <w:p w:rsidR="00855B30" w:rsidRPr="00136830" w:rsidRDefault="00855B30" w:rsidP="001D4D92">
            <w:pPr>
              <w:jc w:val="center"/>
              <w:rPr>
                <w:lang w:val="en-US" w:bidi="en-US"/>
              </w:rPr>
            </w:pPr>
            <w:r w:rsidRPr="00136830">
              <w:rPr>
                <w:lang w:val="en-US" w:bidi="en-US"/>
              </w:rPr>
              <w:t>1.0</w:t>
            </w:r>
          </w:p>
        </w:tc>
        <w:tc>
          <w:tcPr>
            <w:tcW w:w="903" w:type="pct"/>
            <w:vAlign w:val="center"/>
          </w:tcPr>
          <w:p w:rsidR="00855B30" w:rsidRPr="00136830" w:rsidRDefault="00855B30" w:rsidP="001D4D92">
            <w:pPr>
              <w:jc w:val="center"/>
              <w:rPr>
                <w:lang w:val="en-US" w:bidi="en-US"/>
              </w:rPr>
            </w:pPr>
            <w:r w:rsidRPr="00136830">
              <w:rPr>
                <w:lang w:val="en-US" w:bidi="en-US"/>
              </w:rPr>
              <w:t>3.3</w:t>
            </w:r>
          </w:p>
        </w:tc>
        <w:tc>
          <w:tcPr>
            <w:tcW w:w="903" w:type="pct"/>
            <w:vAlign w:val="center"/>
          </w:tcPr>
          <w:p w:rsidR="00A2293F" w:rsidRDefault="00855B30" w:rsidP="001D4D92">
            <w:pPr>
              <w:jc w:val="center"/>
              <w:rPr>
                <w:lang w:val="en-US" w:bidi="en-US"/>
              </w:rPr>
            </w:pPr>
            <w:r w:rsidRPr="00136830">
              <w:rPr>
                <w:lang w:val="en-US" w:bidi="en-US"/>
              </w:rPr>
              <w:t>0.5</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Poland</w:t>
            </w:r>
          </w:p>
        </w:tc>
        <w:tc>
          <w:tcPr>
            <w:tcW w:w="903" w:type="pct"/>
            <w:vAlign w:val="center"/>
          </w:tcPr>
          <w:p w:rsidR="00855B30" w:rsidRPr="00136830" w:rsidRDefault="00855B30" w:rsidP="001D4D92">
            <w:pPr>
              <w:jc w:val="center"/>
              <w:rPr>
                <w:lang w:val="en-US" w:bidi="en-US"/>
              </w:rPr>
            </w:pPr>
            <w:r w:rsidRPr="00136830">
              <w:rPr>
                <w:lang w:val="en-US" w:bidi="en-US"/>
              </w:rPr>
              <w:t>10.5</w:t>
            </w:r>
          </w:p>
        </w:tc>
        <w:tc>
          <w:tcPr>
            <w:tcW w:w="903" w:type="pct"/>
            <w:vAlign w:val="center"/>
          </w:tcPr>
          <w:p w:rsidR="00855B30" w:rsidRPr="00136830" w:rsidRDefault="00855B30" w:rsidP="001D4D92">
            <w:pPr>
              <w:jc w:val="center"/>
              <w:rPr>
                <w:lang w:val="en-US" w:bidi="en-US"/>
              </w:rPr>
            </w:pPr>
            <w:r w:rsidRPr="00136830">
              <w:rPr>
                <w:lang w:val="en-US" w:bidi="en-US"/>
              </w:rPr>
              <w:t>1.9</w:t>
            </w:r>
          </w:p>
        </w:tc>
        <w:tc>
          <w:tcPr>
            <w:tcW w:w="903" w:type="pct"/>
            <w:vAlign w:val="center"/>
          </w:tcPr>
          <w:p w:rsidR="00855B30" w:rsidRPr="00136830" w:rsidRDefault="00855B30" w:rsidP="001D4D92">
            <w:pPr>
              <w:jc w:val="center"/>
              <w:rPr>
                <w:lang w:val="en-US" w:bidi="en-US"/>
              </w:rPr>
            </w:pPr>
            <w:r w:rsidRPr="00136830">
              <w:rPr>
                <w:lang w:val="en-US" w:bidi="en-US"/>
              </w:rPr>
              <w:t>7.1</w:t>
            </w:r>
          </w:p>
        </w:tc>
        <w:tc>
          <w:tcPr>
            <w:tcW w:w="903" w:type="pct"/>
            <w:vAlign w:val="center"/>
          </w:tcPr>
          <w:p w:rsidR="00A2293F" w:rsidRDefault="00855B30" w:rsidP="001D4D92">
            <w:pPr>
              <w:jc w:val="center"/>
              <w:rPr>
                <w:lang w:val="en-US" w:bidi="en-US"/>
              </w:rPr>
            </w:pPr>
            <w:r w:rsidRPr="00136830">
              <w:rPr>
                <w:lang w:val="en-US" w:bidi="en-US"/>
              </w:rPr>
              <w:t>1.4</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Spain</w:t>
            </w:r>
          </w:p>
        </w:tc>
        <w:tc>
          <w:tcPr>
            <w:tcW w:w="903" w:type="pct"/>
            <w:vAlign w:val="center"/>
          </w:tcPr>
          <w:p w:rsidR="00855B30" w:rsidRPr="00136830" w:rsidRDefault="00855B30" w:rsidP="001D4D92">
            <w:pPr>
              <w:jc w:val="center"/>
              <w:rPr>
                <w:lang w:val="en-US" w:bidi="en-US"/>
              </w:rPr>
            </w:pPr>
            <w:r w:rsidRPr="00136830">
              <w:rPr>
                <w:lang w:val="en-US" w:bidi="en-US"/>
              </w:rPr>
              <w:t>12.6</w:t>
            </w:r>
          </w:p>
        </w:tc>
        <w:tc>
          <w:tcPr>
            <w:tcW w:w="903" w:type="pct"/>
            <w:vAlign w:val="center"/>
          </w:tcPr>
          <w:p w:rsidR="00855B30" w:rsidRPr="00136830" w:rsidRDefault="00855B30" w:rsidP="001D4D92">
            <w:pPr>
              <w:jc w:val="center"/>
              <w:rPr>
                <w:lang w:val="en-US" w:bidi="en-US"/>
              </w:rPr>
            </w:pPr>
            <w:r w:rsidRPr="00136830">
              <w:rPr>
                <w:lang w:val="en-US" w:bidi="en-US"/>
              </w:rPr>
              <w:t>1.9</w:t>
            </w:r>
          </w:p>
        </w:tc>
        <w:tc>
          <w:tcPr>
            <w:tcW w:w="903" w:type="pct"/>
            <w:vAlign w:val="center"/>
          </w:tcPr>
          <w:p w:rsidR="00855B30" w:rsidRPr="00136830" w:rsidRDefault="00855B30" w:rsidP="001D4D92">
            <w:pPr>
              <w:jc w:val="center"/>
              <w:rPr>
                <w:lang w:val="en-US" w:bidi="en-US"/>
              </w:rPr>
            </w:pPr>
            <w:r w:rsidRPr="00136830">
              <w:rPr>
                <w:lang w:val="en-US" w:bidi="en-US"/>
              </w:rPr>
              <w:t>6.8</w:t>
            </w:r>
          </w:p>
        </w:tc>
        <w:tc>
          <w:tcPr>
            <w:tcW w:w="903" w:type="pct"/>
            <w:vAlign w:val="center"/>
          </w:tcPr>
          <w:p w:rsidR="00A2293F" w:rsidRDefault="00855B30" w:rsidP="001D4D92">
            <w:pPr>
              <w:jc w:val="center"/>
              <w:rPr>
                <w:lang w:val="en-US" w:bidi="en-US"/>
              </w:rPr>
            </w:pPr>
            <w:r w:rsidRPr="00136830">
              <w:rPr>
                <w:lang w:val="en-US" w:bidi="en-US"/>
              </w:rPr>
              <w:t>1.0</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Sweden</w:t>
            </w:r>
          </w:p>
        </w:tc>
        <w:tc>
          <w:tcPr>
            <w:tcW w:w="903" w:type="pct"/>
            <w:vAlign w:val="center"/>
          </w:tcPr>
          <w:p w:rsidR="00855B30" w:rsidRPr="00136830" w:rsidRDefault="00855B30" w:rsidP="001D4D92">
            <w:pPr>
              <w:jc w:val="center"/>
              <w:rPr>
                <w:lang w:val="en-US" w:bidi="en-US"/>
              </w:rPr>
            </w:pPr>
            <w:r w:rsidRPr="00136830">
              <w:rPr>
                <w:lang w:val="en-US" w:bidi="en-US"/>
              </w:rPr>
              <w:t>7.7</w:t>
            </w:r>
          </w:p>
        </w:tc>
        <w:tc>
          <w:tcPr>
            <w:tcW w:w="903" w:type="pct"/>
            <w:vAlign w:val="center"/>
          </w:tcPr>
          <w:p w:rsidR="00855B30" w:rsidRPr="00136830" w:rsidRDefault="00855B30" w:rsidP="001D4D92">
            <w:pPr>
              <w:jc w:val="center"/>
              <w:rPr>
                <w:lang w:val="en-US" w:bidi="en-US"/>
              </w:rPr>
            </w:pPr>
            <w:r w:rsidRPr="00136830">
              <w:rPr>
                <w:lang w:val="en-US" w:bidi="en-US"/>
              </w:rPr>
              <w:t>1.1</w:t>
            </w:r>
          </w:p>
        </w:tc>
        <w:tc>
          <w:tcPr>
            <w:tcW w:w="903" w:type="pct"/>
            <w:vAlign w:val="center"/>
          </w:tcPr>
          <w:p w:rsidR="00855B30" w:rsidRPr="00136830" w:rsidRDefault="00855B30" w:rsidP="001D4D92">
            <w:pPr>
              <w:jc w:val="center"/>
              <w:rPr>
                <w:lang w:val="en-US" w:bidi="en-US"/>
              </w:rPr>
            </w:pPr>
            <w:r w:rsidRPr="00136830">
              <w:rPr>
                <w:lang w:val="en-US" w:bidi="en-US"/>
              </w:rPr>
              <w:t>4.2</w:t>
            </w:r>
          </w:p>
        </w:tc>
        <w:tc>
          <w:tcPr>
            <w:tcW w:w="903" w:type="pct"/>
            <w:vAlign w:val="center"/>
          </w:tcPr>
          <w:p w:rsidR="00A2293F" w:rsidRDefault="00855B30" w:rsidP="001D4D92">
            <w:pPr>
              <w:jc w:val="center"/>
              <w:rPr>
                <w:lang w:val="en-US" w:bidi="en-US"/>
              </w:rPr>
            </w:pPr>
            <w:r w:rsidRPr="00136830">
              <w:rPr>
                <w:lang w:val="en-US" w:bidi="en-US"/>
              </w:rPr>
              <w:t>0.6</w:t>
            </w:r>
          </w:p>
        </w:tc>
      </w:tr>
      <w:tr w:rsidR="00855B30" w:rsidRPr="00136830" w:rsidTr="00957EB8">
        <w:tc>
          <w:tcPr>
            <w:tcW w:w="1389" w:type="pct"/>
            <w:vAlign w:val="center"/>
          </w:tcPr>
          <w:p w:rsidR="00855B30" w:rsidRPr="00136830" w:rsidRDefault="00855B30" w:rsidP="001D4D92">
            <w:pPr>
              <w:jc w:val="center"/>
              <w:rPr>
                <w:lang w:val="en-US" w:bidi="en-US"/>
              </w:rPr>
            </w:pPr>
            <w:r w:rsidRPr="00136830">
              <w:rPr>
                <w:lang w:val="en-US" w:bidi="en-US"/>
              </w:rPr>
              <w:t>Switzerland</w:t>
            </w:r>
          </w:p>
        </w:tc>
        <w:tc>
          <w:tcPr>
            <w:tcW w:w="903" w:type="pct"/>
            <w:vAlign w:val="center"/>
          </w:tcPr>
          <w:p w:rsidR="00855B30" w:rsidRPr="00136830" w:rsidRDefault="00855B30" w:rsidP="001D4D92">
            <w:pPr>
              <w:jc w:val="center"/>
              <w:rPr>
                <w:lang w:val="en-US" w:bidi="en-US"/>
              </w:rPr>
            </w:pPr>
            <w:r w:rsidRPr="00136830">
              <w:rPr>
                <w:lang w:val="en-US" w:bidi="en-US"/>
              </w:rPr>
              <w:t>7.9</w:t>
            </w:r>
          </w:p>
        </w:tc>
        <w:tc>
          <w:tcPr>
            <w:tcW w:w="903" w:type="pct"/>
            <w:vAlign w:val="center"/>
          </w:tcPr>
          <w:p w:rsidR="00855B30" w:rsidRPr="00136830" w:rsidRDefault="00855B30" w:rsidP="001D4D92">
            <w:pPr>
              <w:jc w:val="center"/>
              <w:rPr>
                <w:lang w:val="en-US" w:bidi="en-US"/>
              </w:rPr>
            </w:pPr>
            <w:r w:rsidRPr="00136830">
              <w:rPr>
                <w:lang w:val="en-US" w:bidi="en-US"/>
              </w:rPr>
              <w:t>1.5</w:t>
            </w:r>
          </w:p>
        </w:tc>
        <w:tc>
          <w:tcPr>
            <w:tcW w:w="903" w:type="pct"/>
            <w:vAlign w:val="center"/>
          </w:tcPr>
          <w:p w:rsidR="00855B30" w:rsidRPr="00136830" w:rsidRDefault="00855B30" w:rsidP="001D4D92">
            <w:pPr>
              <w:jc w:val="center"/>
              <w:rPr>
                <w:lang w:val="en-US" w:bidi="en-US"/>
              </w:rPr>
            </w:pPr>
            <w:r w:rsidRPr="00136830">
              <w:rPr>
                <w:lang w:val="en-US" w:bidi="en-US"/>
              </w:rPr>
              <w:t>5.0</w:t>
            </w:r>
          </w:p>
        </w:tc>
        <w:tc>
          <w:tcPr>
            <w:tcW w:w="903" w:type="pct"/>
            <w:vAlign w:val="center"/>
          </w:tcPr>
          <w:p w:rsidR="00A2293F" w:rsidRDefault="00855B30" w:rsidP="001D4D92">
            <w:pPr>
              <w:jc w:val="center"/>
              <w:rPr>
                <w:lang w:val="en-US" w:bidi="en-US"/>
              </w:rPr>
            </w:pPr>
            <w:r w:rsidRPr="00136830">
              <w:rPr>
                <w:lang w:val="en-US" w:bidi="en-US"/>
              </w:rPr>
              <w:t>1.0</w:t>
            </w:r>
          </w:p>
        </w:tc>
      </w:tr>
    </w:tbl>
    <w:p w:rsidR="00A2293F" w:rsidRDefault="00A2293F" w:rsidP="00A749DD">
      <w:pPr>
        <w:spacing w:line="480" w:lineRule="auto"/>
        <w:rPr>
          <w:lang w:val="en-US" w:bidi="en-US"/>
        </w:rPr>
      </w:pPr>
    </w:p>
    <w:p w:rsidR="00A2293F" w:rsidRDefault="00855B30" w:rsidP="00A749DD">
      <w:pPr>
        <w:spacing w:line="480" w:lineRule="auto"/>
        <w:jc w:val="both"/>
        <w:rPr>
          <w:lang w:val="en-US"/>
        </w:rPr>
      </w:pPr>
      <w:r w:rsidRPr="00136830">
        <w:rPr>
          <w:lang w:val="en-US"/>
        </w:rPr>
        <w:t xml:space="preserve">Table 4 shows that a substantial proportion of nurses in every country report quality of care deficits and high nurse burnout, job dissatisfaction, and intent to leave current positions. Greece was particularly high on nurse burnout, dissatisfaction, and intent to leave. Nearly half of Greek nurses </w:t>
      </w:r>
      <w:r w:rsidRPr="00136830">
        <w:rPr>
          <w:lang w:val="en-US"/>
        </w:rPr>
        <w:lastRenderedPageBreak/>
        <w:t xml:space="preserve">reported working on wards that they characterized as providing “poor” or “fair” quality of care and 17% (61/358) gave their hospitals a poor or failing safety grade. In the Netherlands, nurse burnout, dissatisfaction, and intent to leave were lower but still reflected adverse outcomes for between 10% (211/2061) to 19% (418/2197) of nurses; while only 6% (123/2187) of nurses gave their wards a poor or failing safety grade, and 35% (756/2185) rated care on their wards as fair or poor. </w:t>
      </w:r>
    </w:p>
    <w:p w:rsidR="00A2293F" w:rsidRDefault="00FC6AB2" w:rsidP="00A749DD">
      <w:pPr>
        <w:spacing w:line="480" w:lineRule="auto"/>
        <w:jc w:val="both"/>
        <w:rPr>
          <w:lang w:val="en-US"/>
        </w:rPr>
      </w:pPr>
      <w:r w:rsidRPr="00FC6AB2">
        <w:rPr>
          <w:lang w:val="en-US"/>
        </w:rPr>
        <w:t>Table 4. Nurse wellbeing in 12 RN4CAST countries</w:t>
      </w:r>
    </w:p>
    <w:tbl>
      <w:tblPr>
        <w:tblStyle w:val="Tabelraster"/>
        <w:tblW w:w="0" w:type="auto"/>
        <w:tblLook w:val="04A0"/>
      </w:tblPr>
      <w:tblGrid>
        <w:gridCol w:w="1316"/>
        <w:gridCol w:w="971"/>
        <w:gridCol w:w="975"/>
        <w:gridCol w:w="917"/>
        <w:gridCol w:w="1331"/>
        <w:gridCol w:w="857"/>
        <w:gridCol w:w="1252"/>
        <w:gridCol w:w="1669"/>
      </w:tblGrid>
      <w:tr w:rsidR="00855B30" w:rsidRPr="00B93129" w:rsidTr="001A7B0A">
        <w:tc>
          <w:tcPr>
            <w:tcW w:w="0" w:type="auto"/>
            <w:gridSpan w:val="8"/>
            <w:vAlign w:val="center"/>
          </w:tcPr>
          <w:p w:rsidR="00855B30" w:rsidRPr="00136830" w:rsidRDefault="00855B30" w:rsidP="001D4D92">
            <w:pPr>
              <w:jc w:val="center"/>
              <w:rPr>
                <w:b/>
                <w:lang w:val="en-US" w:bidi="en-US"/>
              </w:rPr>
            </w:pPr>
            <w:r w:rsidRPr="00136830">
              <w:rPr>
                <w:b/>
                <w:lang w:val="en-US" w:bidi="en-US"/>
              </w:rPr>
              <w:t>Nurse reports – Percentages of nurses who</w:t>
            </w:r>
          </w:p>
        </w:tc>
      </w:tr>
      <w:tr w:rsidR="00855B30" w:rsidRPr="00B93129" w:rsidTr="001A7B0A">
        <w:tc>
          <w:tcPr>
            <w:tcW w:w="0" w:type="auto"/>
            <w:vAlign w:val="center"/>
          </w:tcPr>
          <w:p w:rsidR="00855B30" w:rsidRPr="00136830" w:rsidRDefault="00855B30" w:rsidP="001D4D92">
            <w:pPr>
              <w:jc w:val="center"/>
              <w:rPr>
                <w:b/>
                <w:lang w:val="en-US" w:bidi="en-US"/>
              </w:rPr>
            </w:pPr>
            <w:r w:rsidRPr="00136830">
              <w:rPr>
                <w:b/>
                <w:lang w:val="en-US" w:bidi="en-US"/>
              </w:rPr>
              <w:t>Country</w:t>
            </w:r>
          </w:p>
        </w:tc>
        <w:tc>
          <w:tcPr>
            <w:tcW w:w="0" w:type="auto"/>
            <w:vAlign w:val="center"/>
          </w:tcPr>
          <w:p w:rsidR="00855B30" w:rsidRPr="00136830" w:rsidRDefault="00855B30" w:rsidP="001D4D92">
            <w:pPr>
              <w:jc w:val="center"/>
              <w:rPr>
                <w:b/>
                <w:lang w:val="en-US" w:bidi="en-US"/>
              </w:rPr>
            </w:pPr>
            <w:r w:rsidRPr="00136830">
              <w:rPr>
                <w:b/>
                <w:lang w:val="en-US" w:bidi="en-US"/>
              </w:rPr>
              <w:t>Report poor or fair ward quality</w:t>
            </w:r>
          </w:p>
        </w:tc>
        <w:tc>
          <w:tcPr>
            <w:tcW w:w="0" w:type="auto"/>
            <w:vAlign w:val="center"/>
          </w:tcPr>
          <w:p w:rsidR="00855B30" w:rsidRPr="00136830" w:rsidRDefault="00855B30" w:rsidP="001D4D92">
            <w:pPr>
              <w:jc w:val="center"/>
              <w:rPr>
                <w:b/>
                <w:lang w:val="en-US" w:bidi="en-US"/>
              </w:rPr>
            </w:pPr>
            <w:r w:rsidRPr="00136830">
              <w:rPr>
                <w:b/>
                <w:lang w:val="en-US" w:bidi="en-US"/>
              </w:rPr>
              <w:t>Report poor or failing safety grade</w:t>
            </w:r>
          </w:p>
        </w:tc>
        <w:tc>
          <w:tcPr>
            <w:tcW w:w="0" w:type="auto"/>
            <w:vAlign w:val="center"/>
          </w:tcPr>
          <w:p w:rsidR="00855B30" w:rsidRPr="00136830" w:rsidRDefault="00855B30" w:rsidP="001D4D92">
            <w:pPr>
              <w:jc w:val="center"/>
              <w:rPr>
                <w:b/>
                <w:lang w:val="en-US" w:bidi="en-US"/>
              </w:rPr>
            </w:pPr>
            <w:r w:rsidRPr="00136830">
              <w:rPr>
                <w:b/>
                <w:lang w:val="en-US" w:bidi="en-US"/>
              </w:rPr>
              <w:t>Are burned out</w:t>
            </w:r>
          </w:p>
        </w:tc>
        <w:tc>
          <w:tcPr>
            <w:tcW w:w="0" w:type="auto"/>
            <w:vAlign w:val="center"/>
          </w:tcPr>
          <w:p w:rsidR="00A2293F" w:rsidRDefault="00855B30" w:rsidP="001D4D92">
            <w:pPr>
              <w:jc w:val="center"/>
              <w:rPr>
                <w:b/>
                <w:lang w:val="en-US" w:bidi="en-US"/>
              </w:rPr>
            </w:pPr>
            <w:r w:rsidRPr="00136830">
              <w:rPr>
                <w:b/>
                <w:lang w:val="en-US" w:bidi="en-US"/>
              </w:rPr>
              <w:t>Are dissatisfied with their job</w:t>
            </w:r>
          </w:p>
        </w:tc>
        <w:tc>
          <w:tcPr>
            <w:tcW w:w="0" w:type="auto"/>
            <w:vAlign w:val="center"/>
          </w:tcPr>
          <w:p w:rsidR="00A2293F" w:rsidRDefault="00855B30" w:rsidP="001D4D92">
            <w:pPr>
              <w:jc w:val="center"/>
              <w:rPr>
                <w:b/>
                <w:lang w:val="en-US" w:bidi="en-US"/>
              </w:rPr>
            </w:pPr>
            <w:r w:rsidRPr="00136830">
              <w:rPr>
                <w:b/>
                <w:lang w:val="en-US" w:bidi="en-US"/>
              </w:rPr>
              <w:t>Intend to leave</w:t>
            </w:r>
          </w:p>
        </w:tc>
        <w:tc>
          <w:tcPr>
            <w:tcW w:w="0" w:type="auto"/>
            <w:vAlign w:val="center"/>
          </w:tcPr>
          <w:p w:rsidR="00A2293F" w:rsidRDefault="00855B30" w:rsidP="001D4D92">
            <w:pPr>
              <w:jc w:val="center"/>
              <w:rPr>
                <w:b/>
                <w:lang w:val="en-US" w:bidi="en-US"/>
              </w:rPr>
            </w:pPr>
            <w:r w:rsidRPr="00136830">
              <w:rPr>
                <w:b/>
                <w:lang w:val="en-US" w:bidi="en-US"/>
              </w:rPr>
              <w:t>Are not confident patient can manage care</w:t>
            </w:r>
          </w:p>
        </w:tc>
        <w:tc>
          <w:tcPr>
            <w:tcW w:w="0" w:type="auto"/>
            <w:vAlign w:val="center"/>
          </w:tcPr>
          <w:p w:rsidR="00A2293F" w:rsidRDefault="00855B30" w:rsidP="001D4D92">
            <w:pPr>
              <w:jc w:val="center"/>
              <w:rPr>
                <w:b/>
                <w:lang w:val="en-US" w:bidi="en-US"/>
              </w:rPr>
            </w:pPr>
            <w:r w:rsidRPr="00136830">
              <w:rPr>
                <w:b/>
                <w:lang w:val="en-US" w:bidi="en-US"/>
              </w:rPr>
              <w:t>Are not confident that management resolves patient problems</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Belgium</w:t>
            </w:r>
          </w:p>
        </w:tc>
        <w:tc>
          <w:tcPr>
            <w:tcW w:w="0" w:type="auto"/>
            <w:vAlign w:val="center"/>
          </w:tcPr>
          <w:p w:rsidR="00855B30" w:rsidRPr="00136830" w:rsidRDefault="00855B30" w:rsidP="001D4D92">
            <w:pPr>
              <w:jc w:val="center"/>
              <w:rPr>
                <w:lang w:val="en-US" w:bidi="en-US"/>
              </w:rPr>
            </w:pPr>
            <w:r w:rsidRPr="00136830">
              <w:rPr>
                <w:lang w:val="en-US" w:bidi="en-US"/>
              </w:rPr>
              <w:t>28</w:t>
            </w:r>
          </w:p>
        </w:tc>
        <w:tc>
          <w:tcPr>
            <w:tcW w:w="0" w:type="auto"/>
            <w:vAlign w:val="center"/>
          </w:tcPr>
          <w:p w:rsidR="00855B30" w:rsidRPr="00136830" w:rsidRDefault="00855B30" w:rsidP="001D4D92">
            <w:pPr>
              <w:jc w:val="center"/>
              <w:rPr>
                <w:lang w:val="en-US" w:bidi="en-US"/>
              </w:rPr>
            </w:pPr>
            <w:r w:rsidRPr="00136830">
              <w:rPr>
                <w:lang w:val="en-US" w:bidi="en-US"/>
              </w:rPr>
              <w:t>6</w:t>
            </w:r>
          </w:p>
        </w:tc>
        <w:tc>
          <w:tcPr>
            <w:tcW w:w="0" w:type="auto"/>
            <w:vAlign w:val="center"/>
          </w:tcPr>
          <w:p w:rsidR="00855B30" w:rsidRPr="00136830" w:rsidRDefault="00855B30" w:rsidP="001D4D92">
            <w:pPr>
              <w:jc w:val="center"/>
              <w:rPr>
                <w:lang w:val="en-US" w:bidi="en-US"/>
              </w:rPr>
            </w:pPr>
            <w:r w:rsidRPr="00136830">
              <w:rPr>
                <w:lang w:val="en-US" w:bidi="en-US"/>
              </w:rPr>
              <w:t>25</w:t>
            </w:r>
          </w:p>
        </w:tc>
        <w:tc>
          <w:tcPr>
            <w:tcW w:w="0" w:type="auto"/>
            <w:vAlign w:val="center"/>
          </w:tcPr>
          <w:p w:rsidR="00A2293F" w:rsidRDefault="00855B30" w:rsidP="001D4D92">
            <w:pPr>
              <w:jc w:val="center"/>
              <w:rPr>
                <w:lang w:val="en-US" w:bidi="en-US"/>
              </w:rPr>
            </w:pPr>
            <w:r w:rsidRPr="00136830">
              <w:rPr>
                <w:lang w:val="en-US" w:bidi="en-US"/>
              </w:rPr>
              <w:t>22</w:t>
            </w:r>
          </w:p>
        </w:tc>
        <w:tc>
          <w:tcPr>
            <w:tcW w:w="0" w:type="auto"/>
          </w:tcPr>
          <w:p w:rsidR="00A2293F" w:rsidRDefault="00855B30" w:rsidP="001D4D92">
            <w:pPr>
              <w:jc w:val="center"/>
              <w:rPr>
                <w:lang w:val="en-US" w:bidi="en-US"/>
              </w:rPr>
            </w:pPr>
            <w:r w:rsidRPr="00136830">
              <w:rPr>
                <w:lang w:val="en-US" w:bidi="en-US"/>
              </w:rPr>
              <w:t>30</w:t>
            </w:r>
          </w:p>
        </w:tc>
        <w:tc>
          <w:tcPr>
            <w:tcW w:w="0" w:type="auto"/>
          </w:tcPr>
          <w:p w:rsidR="00A2293F" w:rsidRDefault="00855B30" w:rsidP="001D4D92">
            <w:pPr>
              <w:jc w:val="center"/>
              <w:rPr>
                <w:lang w:val="en-US" w:bidi="en-US"/>
              </w:rPr>
            </w:pPr>
            <w:r w:rsidRPr="00136830">
              <w:rPr>
                <w:lang w:val="en-US" w:bidi="en-US"/>
              </w:rPr>
              <w:t>61</w:t>
            </w:r>
          </w:p>
        </w:tc>
        <w:tc>
          <w:tcPr>
            <w:tcW w:w="0" w:type="auto"/>
          </w:tcPr>
          <w:p w:rsidR="00A2293F" w:rsidRDefault="00855B30" w:rsidP="001D4D92">
            <w:pPr>
              <w:jc w:val="center"/>
              <w:rPr>
                <w:lang w:val="en-US" w:bidi="en-US"/>
              </w:rPr>
            </w:pPr>
            <w:r w:rsidRPr="00136830">
              <w:rPr>
                <w:lang w:val="en-US" w:bidi="en-US"/>
              </w:rPr>
              <w:t>80</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England</w:t>
            </w:r>
          </w:p>
        </w:tc>
        <w:tc>
          <w:tcPr>
            <w:tcW w:w="0" w:type="auto"/>
            <w:vAlign w:val="center"/>
          </w:tcPr>
          <w:p w:rsidR="00855B30" w:rsidRPr="00136830" w:rsidRDefault="00855B30" w:rsidP="001D4D92">
            <w:pPr>
              <w:jc w:val="center"/>
              <w:rPr>
                <w:lang w:val="en-US" w:bidi="en-US"/>
              </w:rPr>
            </w:pPr>
            <w:r w:rsidRPr="00136830">
              <w:rPr>
                <w:lang w:val="en-US" w:bidi="en-US"/>
              </w:rPr>
              <w:t>19</w:t>
            </w:r>
          </w:p>
        </w:tc>
        <w:tc>
          <w:tcPr>
            <w:tcW w:w="0" w:type="auto"/>
            <w:vAlign w:val="center"/>
          </w:tcPr>
          <w:p w:rsidR="00855B30" w:rsidRPr="00136830" w:rsidRDefault="00855B30" w:rsidP="001D4D92">
            <w:pPr>
              <w:jc w:val="center"/>
              <w:rPr>
                <w:lang w:val="en-US" w:bidi="en-US"/>
              </w:rPr>
            </w:pPr>
            <w:r w:rsidRPr="00136830">
              <w:rPr>
                <w:lang w:val="en-US" w:bidi="en-US"/>
              </w:rPr>
              <w:t>7</w:t>
            </w:r>
          </w:p>
        </w:tc>
        <w:tc>
          <w:tcPr>
            <w:tcW w:w="0" w:type="auto"/>
            <w:vAlign w:val="center"/>
          </w:tcPr>
          <w:p w:rsidR="00855B30" w:rsidRPr="00136830" w:rsidRDefault="00855B30" w:rsidP="001D4D92">
            <w:pPr>
              <w:jc w:val="center"/>
              <w:rPr>
                <w:lang w:val="en-US" w:bidi="en-US"/>
              </w:rPr>
            </w:pPr>
            <w:r w:rsidRPr="00136830">
              <w:rPr>
                <w:lang w:val="en-US" w:bidi="en-US"/>
              </w:rPr>
              <w:t>42</w:t>
            </w:r>
          </w:p>
        </w:tc>
        <w:tc>
          <w:tcPr>
            <w:tcW w:w="0" w:type="auto"/>
            <w:vAlign w:val="center"/>
          </w:tcPr>
          <w:p w:rsidR="00A2293F" w:rsidRDefault="00855B30" w:rsidP="001D4D92">
            <w:pPr>
              <w:jc w:val="center"/>
              <w:rPr>
                <w:lang w:val="en-US" w:bidi="en-US"/>
              </w:rPr>
            </w:pPr>
            <w:r w:rsidRPr="00136830">
              <w:rPr>
                <w:lang w:val="en-US" w:bidi="en-US"/>
              </w:rPr>
              <w:t>39</w:t>
            </w:r>
          </w:p>
        </w:tc>
        <w:tc>
          <w:tcPr>
            <w:tcW w:w="0" w:type="auto"/>
          </w:tcPr>
          <w:p w:rsidR="00A2293F" w:rsidRDefault="00855B30" w:rsidP="001D4D92">
            <w:pPr>
              <w:jc w:val="center"/>
              <w:rPr>
                <w:lang w:val="en-US" w:bidi="en-US"/>
              </w:rPr>
            </w:pPr>
            <w:r w:rsidRPr="00136830">
              <w:rPr>
                <w:lang w:val="en-US" w:bidi="en-US"/>
              </w:rPr>
              <w:t>44</w:t>
            </w:r>
          </w:p>
        </w:tc>
        <w:tc>
          <w:tcPr>
            <w:tcW w:w="0" w:type="auto"/>
          </w:tcPr>
          <w:p w:rsidR="00A2293F" w:rsidRDefault="00855B30" w:rsidP="001D4D92">
            <w:pPr>
              <w:jc w:val="center"/>
              <w:rPr>
                <w:lang w:val="en-US" w:bidi="en-US"/>
              </w:rPr>
            </w:pPr>
            <w:r w:rsidRPr="00136830">
              <w:rPr>
                <w:lang w:val="en-US" w:bidi="en-US"/>
              </w:rPr>
              <w:t>34</w:t>
            </w:r>
          </w:p>
        </w:tc>
        <w:tc>
          <w:tcPr>
            <w:tcW w:w="0" w:type="auto"/>
          </w:tcPr>
          <w:p w:rsidR="00A2293F" w:rsidRDefault="00855B30" w:rsidP="001D4D92">
            <w:pPr>
              <w:jc w:val="center"/>
              <w:rPr>
                <w:lang w:val="en-US" w:bidi="en-US"/>
              </w:rPr>
            </w:pPr>
            <w:r w:rsidRPr="00136830">
              <w:rPr>
                <w:lang w:val="en-US" w:bidi="en-US"/>
              </w:rPr>
              <w:t>64</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Finland</w:t>
            </w:r>
          </w:p>
        </w:tc>
        <w:tc>
          <w:tcPr>
            <w:tcW w:w="0" w:type="auto"/>
            <w:vAlign w:val="center"/>
          </w:tcPr>
          <w:p w:rsidR="00855B30" w:rsidRPr="00136830" w:rsidRDefault="00855B30" w:rsidP="001D4D92">
            <w:pPr>
              <w:jc w:val="center"/>
              <w:rPr>
                <w:lang w:val="en-US" w:bidi="en-US"/>
              </w:rPr>
            </w:pPr>
            <w:r w:rsidRPr="00136830">
              <w:rPr>
                <w:lang w:val="en-US" w:bidi="en-US"/>
              </w:rPr>
              <w:t>13</w:t>
            </w:r>
          </w:p>
        </w:tc>
        <w:tc>
          <w:tcPr>
            <w:tcW w:w="0" w:type="auto"/>
            <w:vAlign w:val="center"/>
          </w:tcPr>
          <w:p w:rsidR="00855B30" w:rsidRPr="00136830" w:rsidRDefault="00855B30" w:rsidP="001D4D92">
            <w:pPr>
              <w:jc w:val="center"/>
              <w:rPr>
                <w:lang w:val="en-US" w:bidi="en-US"/>
              </w:rPr>
            </w:pPr>
            <w:r w:rsidRPr="00136830">
              <w:rPr>
                <w:lang w:val="en-US" w:bidi="en-US"/>
              </w:rPr>
              <w:t>7</w:t>
            </w:r>
          </w:p>
        </w:tc>
        <w:tc>
          <w:tcPr>
            <w:tcW w:w="0" w:type="auto"/>
            <w:vAlign w:val="center"/>
          </w:tcPr>
          <w:p w:rsidR="00855B30" w:rsidRPr="00136830" w:rsidRDefault="00855B30" w:rsidP="001D4D92">
            <w:pPr>
              <w:jc w:val="center"/>
              <w:rPr>
                <w:lang w:val="en-US" w:bidi="en-US"/>
              </w:rPr>
            </w:pPr>
            <w:r w:rsidRPr="00136830">
              <w:rPr>
                <w:lang w:val="en-US" w:bidi="en-US"/>
              </w:rPr>
              <w:t>22</w:t>
            </w:r>
          </w:p>
        </w:tc>
        <w:tc>
          <w:tcPr>
            <w:tcW w:w="0" w:type="auto"/>
            <w:vAlign w:val="center"/>
          </w:tcPr>
          <w:p w:rsidR="00A2293F" w:rsidRDefault="00855B30" w:rsidP="001D4D92">
            <w:pPr>
              <w:jc w:val="center"/>
              <w:rPr>
                <w:lang w:val="en-US" w:bidi="en-US"/>
              </w:rPr>
            </w:pPr>
            <w:r w:rsidRPr="00136830">
              <w:rPr>
                <w:lang w:val="en-US" w:bidi="en-US"/>
              </w:rPr>
              <w:t>27</w:t>
            </w:r>
          </w:p>
        </w:tc>
        <w:tc>
          <w:tcPr>
            <w:tcW w:w="0" w:type="auto"/>
          </w:tcPr>
          <w:p w:rsidR="00A2293F" w:rsidRDefault="00855B30" w:rsidP="001D4D92">
            <w:pPr>
              <w:jc w:val="center"/>
              <w:rPr>
                <w:lang w:val="en-US" w:bidi="en-US"/>
              </w:rPr>
            </w:pPr>
            <w:r w:rsidRPr="00136830">
              <w:rPr>
                <w:lang w:val="en-US" w:bidi="en-US"/>
              </w:rPr>
              <w:t>49</w:t>
            </w:r>
          </w:p>
        </w:tc>
        <w:tc>
          <w:tcPr>
            <w:tcW w:w="0" w:type="auto"/>
          </w:tcPr>
          <w:p w:rsidR="00A2293F" w:rsidRDefault="00855B30" w:rsidP="001D4D92">
            <w:pPr>
              <w:jc w:val="center"/>
              <w:rPr>
                <w:lang w:val="en-US" w:bidi="en-US"/>
              </w:rPr>
            </w:pPr>
            <w:r w:rsidRPr="00136830">
              <w:rPr>
                <w:lang w:val="en-US" w:bidi="en-US"/>
              </w:rPr>
              <w:t>40</w:t>
            </w:r>
          </w:p>
        </w:tc>
        <w:tc>
          <w:tcPr>
            <w:tcW w:w="0" w:type="auto"/>
          </w:tcPr>
          <w:p w:rsidR="00A2293F" w:rsidRDefault="00855B30" w:rsidP="001D4D92">
            <w:pPr>
              <w:jc w:val="center"/>
              <w:rPr>
                <w:lang w:val="en-US" w:bidi="en-US"/>
              </w:rPr>
            </w:pPr>
            <w:r w:rsidRPr="00136830">
              <w:rPr>
                <w:lang w:val="en-US" w:bidi="en-US"/>
              </w:rPr>
              <w:t>81</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Germany</w:t>
            </w:r>
          </w:p>
        </w:tc>
        <w:tc>
          <w:tcPr>
            <w:tcW w:w="0" w:type="auto"/>
            <w:vAlign w:val="center"/>
          </w:tcPr>
          <w:p w:rsidR="00855B30" w:rsidRPr="00136830" w:rsidRDefault="00855B30" w:rsidP="001D4D92">
            <w:pPr>
              <w:jc w:val="center"/>
              <w:rPr>
                <w:lang w:val="en-US" w:bidi="en-US"/>
              </w:rPr>
            </w:pPr>
            <w:r w:rsidRPr="00136830">
              <w:rPr>
                <w:lang w:val="en-US" w:bidi="en-US"/>
              </w:rPr>
              <w:t>35</w:t>
            </w:r>
          </w:p>
        </w:tc>
        <w:tc>
          <w:tcPr>
            <w:tcW w:w="0" w:type="auto"/>
            <w:vAlign w:val="center"/>
          </w:tcPr>
          <w:p w:rsidR="00855B30" w:rsidRPr="00136830" w:rsidRDefault="00855B30" w:rsidP="001D4D92">
            <w:pPr>
              <w:jc w:val="center"/>
              <w:rPr>
                <w:lang w:val="en-US" w:bidi="en-US"/>
              </w:rPr>
            </w:pPr>
            <w:r w:rsidRPr="00136830">
              <w:rPr>
                <w:lang w:val="en-US" w:bidi="en-US"/>
              </w:rPr>
              <w:t>6</w:t>
            </w:r>
          </w:p>
        </w:tc>
        <w:tc>
          <w:tcPr>
            <w:tcW w:w="0" w:type="auto"/>
            <w:vAlign w:val="center"/>
          </w:tcPr>
          <w:p w:rsidR="00855B30" w:rsidRPr="00136830" w:rsidRDefault="00855B30" w:rsidP="001D4D92">
            <w:pPr>
              <w:jc w:val="center"/>
              <w:rPr>
                <w:lang w:val="en-US" w:bidi="en-US"/>
              </w:rPr>
            </w:pPr>
            <w:r w:rsidRPr="00136830">
              <w:rPr>
                <w:lang w:val="en-US" w:bidi="en-US"/>
              </w:rPr>
              <w:t>30</w:t>
            </w:r>
          </w:p>
        </w:tc>
        <w:tc>
          <w:tcPr>
            <w:tcW w:w="0" w:type="auto"/>
            <w:vAlign w:val="center"/>
          </w:tcPr>
          <w:p w:rsidR="00A2293F" w:rsidRDefault="00855B30" w:rsidP="001D4D92">
            <w:pPr>
              <w:jc w:val="center"/>
              <w:rPr>
                <w:lang w:val="en-US" w:bidi="en-US"/>
              </w:rPr>
            </w:pPr>
            <w:r w:rsidRPr="00136830">
              <w:rPr>
                <w:lang w:val="en-US" w:bidi="en-US"/>
              </w:rPr>
              <w:t>37</w:t>
            </w:r>
          </w:p>
        </w:tc>
        <w:tc>
          <w:tcPr>
            <w:tcW w:w="0" w:type="auto"/>
          </w:tcPr>
          <w:p w:rsidR="00A2293F" w:rsidRDefault="00855B30" w:rsidP="001D4D92">
            <w:pPr>
              <w:jc w:val="center"/>
              <w:rPr>
                <w:lang w:val="en-US" w:bidi="en-US"/>
              </w:rPr>
            </w:pPr>
            <w:r w:rsidRPr="00136830">
              <w:rPr>
                <w:lang w:val="en-US" w:bidi="en-US"/>
              </w:rPr>
              <w:t>36</w:t>
            </w:r>
          </w:p>
        </w:tc>
        <w:tc>
          <w:tcPr>
            <w:tcW w:w="0" w:type="auto"/>
          </w:tcPr>
          <w:p w:rsidR="00A2293F" w:rsidRDefault="00855B30" w:rsidP="001D4D92">
            <w:pPr>
              <w:jc w:val="center"/>
              <w:rPr>
                <w:lang w:val="en-US" w:bidi="en-US"/>
              </w:rPr>
            </w:pPr>
            <w:r w:rsidRPr="00136830">
              <w:rPr>
                <w:lang w:val="en-US" w:bidi="en-US"/>
              </w:rPr>
              <w:t>31</w:t>
            </w:r>
          </w:p>
        </w:tc>
        <w:tc>
          <w:tcPr>
            <w:tcW w:w="0" w:type="auto"/>
          </w:tcPr>
          <w:p w:rsidR="00A2293F" w:rsidRDefault="00855B30" w:rsidP="001D4D92">
            <w:pPr>
              <w:jc w:val="center"/>
              <w:rPr>
                <w:lang w:val="en-US" w:bidi="en-US"/>
              </w:rPr>
            </w:pPr>
            <w:r w:rsidRPr="00136830">
              <w:rPr>
                <w:lang w:val="en-US" w:bidi="en-US"/>
              </w:rPr>
              <w:t>58</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Greece</w:t>
            </w:r>
          </w:p>
        </w:tc>
        <w:tc>
          <w:tcPr>
            <w:tcW w:w="0" w:type="auto"/>
            <w:vAlign w:val="center"/>
          </w:tcPr>
          <w:p w:rsidR="00855B30" w:rsidRPr="00136830" w:rsidRDefault="00855B30" w:rsidP="001D4D92">
            <w:pPr>
              <w:jc w:val="center"/>
              <w:rPr>
                <w:lang w:val="en-US" w:bidi="en-US"/>
              </w:rPr>
            </w:pPr>
            <w:r w:rsidRPr="00136830">
              <w:rPr>
                <w:lang w:val="en-US" w:bidi="en-US"/>
              </w:rPr>
              <w:t>47</w:t>
            </w:r>
          </w:p>
        </w:tc>
        <w:tc>
          <w:tcPr>
            <w:tcW w:w="0" w:type="auto"/>
            <w:vAlign w:val="center"/>
          </w:tcPr>
          <w:p w:rsidR="00855B30" w:rsidRPr="00136830" w:rsidRDefault="00855B30" w:rsidP="001D4D92">
            <w:pPr>
              <w:jc w:val="center"/>
              <w:rPr>
                <w:lang w:val="en-US" w:bidi="en-US"/>
              </w:rPr>
            </w:pPr>
            <w:r w:rsidRPr="00136830">
              <w:rPr>
                <w:lang w:val="en-US" w:bidi="en-US"/>
              </w:rPr>
              <w:t>17</w:t>
            </w:r>
          </w:p>
        </w:tc>
        <w:tc>
          <w:tcPr>
            <w:tcW w:w="0" w:type="auto"/>
            <w:vAlign w:val="center"/>
          </w:tcPr>
          <w:p w:rsidR="00855B30" w:rsidRPr="00136830" w:rsidRDefault="00855B30" w:rsidP="001D4D92">
            <w:pPr>
              <w:jc w:val="center"/>
              <w:rPr>
                <w:lang w:val="en-US" w:bidi="en-US"/>
              </w:rPr>
            </w:pPr>
            <w:r w:rsidRPr="00136830">
              <w:rPr>
                <w:lang w:val="en-US" w:bidi="en-US"/>
              </w:rPr>
              <w:t>78</w:t>
            </w:r>
          </w:p>
        </w:tc>
        <w:tc>
          <w:tcPr>
            <w:tcW w:w="0" w:type="auto"/>
            <w:vAlign w:val="center"/>
          </w:tcPr>
          <w:p w:rsidR="00A2293F" w:rsidRDefault="00855B30" w:rsidP="001D4D92">
            <w:pPr>
              <w:jc w:val="center"/>
              <w:rPr>
                <w:lang w:val="en-US" w:bidi="en-US"/>
              </w:rPr>
            </w:pPr>
            <w:r w:rsidRPr="00136830">
              <w:rPr>
                <w:lang w:val="en-US" w:bidi="en-US"/>
              </w:rPr>
              <w:t>56</w:t>
            </w:r>
          </w:p>
        </w:tc>
        <w:tc>
          <w:tcPr>
            <w:tcW w:w="0" w:type="auto"/>
          </w:tcPr>
          <w:p w:rsidR="00A2293F" w:rsidRDefault="00855B30" w:rsidP="001D4D92">
            <w:pPr>
              <w:jc w:val="center"/>
              <w:rPr>
                <w:lang w:val="en-US" w:bidi="en-US"/>
              </w:rPr>
            </w:pPr>
            <w:r w:rsidRPr="00136830">
              <w:rPr>
                <w:lang w:val="en-US" w:bidi="en-US"/>
              </w:rPr>
              <w:t>49</w:t>
            </w:r>
          </w:p>
        </w:tc>
        <w:tc>
          <w:tcPr>
            <w:tcW w:w="0" w:type="auto"/>
          </w:tcPr>
          <w:p w:rsidR="00A2293F" w:rsidRDefault="00855B30" w:rsidP="001D4D92">
            <w:pPr>
              <w:jc w:val="center"/>
              <w:rPr>
                <w:lang w:val="en-US" w:bidi="en-US"/>
              </w:rPr>
            </w:pPr>
            <w:r w:rsidRPr="00136830">
              <w:rPr>
                <w:lang w:val="en-US" w:bidi="en-US"/>
              </w:rPr>
              <w:t>65</w:t>
            </w:r>
          </w:p>
        </w:tc>
        <w:tc>
          <w:tcPr>
            <w:tcW w:w="0" w:type="auto"/>
          </w:tcPr>
          <w:p w:rsidR="00A2293F" w:rsidRDefault="00855B30" w:rsidP="001D4D92">
            <w:pPr>
              <w:jc w:val="center"/>
              <w:rPr>
                <w:lang w:val="en-US" w:bidi="en-US"/>
              </w:rPr>
            </w:pPr>
            <w:r w:rsidRPr="00136830">
              <w:rPr>
                <w:lang w:val="en-US" w:bidi="en-US"/>
              </w:rPr>
              <w:t>87</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Ireland</w:t>
            </w:r>
          </w:p>
        </w:tc>
        <w:tc>
          <w:tcPr>
            <w:tcW w:w="0" w:type="auto"/>
            <w:vAlign w:val="center"/>
          </w:tcPr>
          <w:p w:rsidR="00855B30" w:rsidRPr="00136830" w:rsidRDefault="00855B30" w:rsidP="001D4D92">
            <w:pPr>
              <w:jc w:val="center"/>
              <w:rPr>
                <w:lang w:val="en-US" w:bidi="en-US"/>
              </w:rPr>
            </w:pPr>
            <w:r w:rsidRPr="00136830">
              <w:rPr>
                <w:lang w:val="en-US" w:bidi="en-US"/>
              </w:rPr>
              <w:t>11</w:t>
            </w:r>
          </w:p>
        </w:tc>
        <w:tc>
          <w:tcPr>
            <w:tcW w:w="0" w:type="auto"/>
            <w:vAlign w:val="center"/>
          </w:tcPr>
          <w:p w:rsidR="00855B30" w:rsidRPr="00136830" w:rsidRDefault="00855B30" w:rsidP="001D4D92">
            <w:pPr>
              <w:jc w:val="center"/>
              <w:rPr>
                <w:lang w:val="en-US" w:bidi="en-US"/>
              </w:rPr>
            </w:pPr>
            <w:r w:rsidRPr="00136830">
              <w:rPr>
                <w:lang w:val="en-US" w:bidi="en-US"/>
              </w:rPr>
              <w:t>8</w:t>
            </w:r>
          </w:p>
        </w:tc>
        <w:tc>
          <w:tcPr>
            <w:tcW w:w="0" w:type="auto"/>
            <w:vAlign w:val="center"/>
          </w:tcPr>
          <w:p w:rsidR="00855B30" w:rsidRPr="00136830" w:rsidRDefault="00855B30" w:rsidP="001D4D92">
            <w:pPr>
              <w:jc w:val="center"/>
              <w:rPr>
                <w:lang w:val="en-US" w:bidi="en-US"/>
              </w:rPr>
            </w:pPr>
            <w:r w:rsidRPr="00136830">
              <w:rPr>
                <w:lang w:val="en-US" w:bidi="en-US"/>
              </w:rPr>
              <w:t>41</w:t>
            </w:r>
          </w:p>
        </w:tc>
        <w:tc>
          <w:tcPr>
            <w:tcW w:w="0" w:type="auto"/>
            <w:vAlign w:val="center"/>
          </w:tcPr>
          <w:p w:rsidR="00A2293F" w:rsidRDefault="00855B30" w:rsidP="001D4D92">
            <w:pPr>
              <w:jc w:val="center"/>
              <w:rPr>
                <w:lang w:val="en-US" w:bidi="en-US"/>
              </w:rPr>
            </w:pPr>
            <w:r w:rsidRPr="00136830">
              <w:rPr>
                <w:lang w:val="en-US" w:bidi="en-US"/>
              </w:rPr>
              <w:t>42</w:t>
            </w:r>
          </w:p>
        </w:tc>
        <w:tc>
          <w:tcPr>
            <w:tcW w:w="0" w:type="auto"/>
          </w:tcPr>
          <w:p w:rsidR="00A2293F" w:rsidRDefault="00855B30" w:rsidP="001D4D92">
            <w:pPr>
              <w:jc w:val="center"/>
              <w:rPr>
                <w:lang w:val="en-US" w:bidi="en-US"/>
              </w:rPr>
            </w:pPr>
            <w:r w:rsidRPr="00136830">
              <w:rPr>
                <w:lang w:val="en-US" w:bidi="en-US"/>
              </w:rPr>
              <w:t>44</w:t>
            </w:r>
          </w:p>
        </w:tc>
        <w:tc>
          <w:tcPr>
            <w:tcW w:w="0" w:type="auto"/>
          </w:tcPr>
          <w:p w:rsidR="00A2293F" w:rsidRDefault="00855B30" w:rsidP="001D4D92">
            <w:pPr>
              <w:jc w:val="center"/>
              <w:rPr>
                <w:lang w:val="en-US" w:bidi="en-US"/>
              </w:rPr>
            </w:pPr>
            <w:r w:rsidRPr="00136830">
              <w:rPr>
                <w:lang w:val="en-US" w:bidi="en-US"/>
              </w:rPr>
              <w:t>42</w:t>
            </w:r>
          </w:p>
        </w:tc>
        <w:tc>
          <w:tcPr>
            <w:tcW w:w="0" w:type="auto"/>
          </w:tcPr>
          <w:p w:rsidR="00A2293F" w:rsidRDefault="00855B30" w:rsidP="001D4D92">
            <w:pPr>
              <w:jc w:val="center"/>
              <w:rPr>
                <w:lang w:val="en-US" w:bidi="en-US"/>
              </w:rPr>
            </w:pPr>
            <w:r w:rsidRPr="00136830">
              <w:rPr>
                <w:lang w:val="en-US" w:bidi="en-US"/>
              </w:rPr>
              <w:t>63</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Netherlands</w:t>
            </w:r>
          </w:p>
        </w:tc>
        <w:tc>
          <w:tcPr>
            <w:tcW w:w="0" w:type="auto"/>
            <w:vAlign w:val="center"/>
          </w:tcPr>
          <w:p w:rsidR="00855B30" w:rsidRPr="00136830" w:rsidRDefault="00855B30" w:rsidP="001D4D92">
            <w:pPr>
              <w:jc w:val="center"/>
              <w:rPr>
                <w:lang w:val="en-US" w:bidi="en-US"/>
              </w:rPr>
            </w:pPr>
            <w:r w:rsidRPr="00136830">
              <w:rPr>
                <w:lang w:val="en-US" w:bidi="en-US"/>
              </w:rPr>
              <w:t>35</w:t>
            </w:r>
          </w:p>
        </w:tc>
        <w:tc>
          <w:tcPr>
            <w:tcW w:w="0" w:type="auto"/>
            <w:vAlign w:val="center"/>
          </w:tcPr>
          <w:p w:rsidR="00855B30" w:rsidRPr="00136830" w:rsidRDefault="00855B30" w:rsidP="001D4D92">
            <w:pPr>
              <w:jc w:val="center"/>
              <w:rPr>
                <w:lang w:val="en-US" w:bidi="en-US"/>
              </w:rPr>
            </w:pPr>
            <w:r w:rsidRPr="00136830">
              <w:rPr>
                <w:lang w:val="en-US" w:bidi="en-US"/>
              </w:rPr>
              <w:t>6</w:t>
            </w:r>
          </w:p>
        </w:tc>
        <w:tc>
          <w:tcPr>
            <w:tcW w:w="0" w:type="auto"/>
            <w:vAlign w:val="center"/>
          </w:tcPr>
          <w:p w:rsidR="00855B30" w:rsidRPr="00136830" w:rsidRDefault="00855B30" w:rsidP="001D4D92">
            <w:pPr>
              <w:jc w:val="center"/>
              <w:rPr>
                <w:lang w:val="en-US" w:bidi="en-US"/>
              </w:rPr>
            </w:pPr>
            <w:r w:rsidRPr="00136830">
              <w:rPr>
                <w:lang w:val="en-US" w:bidi="en-US"/>
              </w:rPr>
              <w:t>10</w:t>
            </w:r>
          </w:p>
        </w:tc>
        <w:tc>
          <w:tcPr>
            <w:tcW w:w="0" w:type="auto"/>
            <w:vAlign w:val="center"/>
          </w:tcPr>
          <w:p w:rsidR="00A2293F" w:rsidRDefault="00855B30" w:rsidP="001D4D92">
            <w:pPr>
              <w:jc w:val="center"/>
              <w:rPr>
                <w:lang w:val="en-US" w:bidi="en-US"/>
              </w:rPr>
            </w:pPr>
            <w:r w:rsidRPr="00136830">
              <w:rPr>
                <w:lang w:val="en-US" w:bidi="en-US"/>
              </w:rPr>
              <w:t>11</w:t>
            </w:r>
          </w:p>
        </w:tc>
        <w:tc>
          <w:tcPr>
            <w:tcW w:w="0" w:type="auto"/>
          </w:tcPr>
          <w:p w:rsidR="00A2293F" w:rsidRDefault="00855B30" w:rsidP="001D4D92">
            <w:pPr>
              <w:jc w:val="center"/>
              <w:rPr>
                <w:lang w:val="en-US" w:bidi="en-US"/>
              </w:rPr>
            </w:pPr>
            <w:r w:rsidRPr="00136830">
              <w:rPr>
                <w:lang w:val="en-US" w:bidi="en-US"/>
              </w:rPr>
              <w:t>19</w:t>
            </w:r>
          </w:p>
        </w:tc>
        <w:tc>
          <w:tcPr>
            <w:tcW w:w="0" w:type="auto"/>
          </w:tcPr>
          <w:p w:rsidR="00A2293F" w:rsidRDefault="00855B30" w:rsidP="001D4D92">
            <w:pPr>
              <w:jc w:val="center"/>
              <w:rPr>
                <w:lang w:val="en-US" w:bidi="en-US"/>
              </w:rPr>
            </w:pPr>
            <w:r w:rsidRPr="00136830">
              <w:rPr>
                <w:lang w:val="en-US" w:bidi="en-US"/>
              </w:rPr>
              <w:t>41</w:t>
            </w:r>
          </w:p>
        </w:tc>
        <w:tc>
          <w:tcPr>
            <w:tcW w:w="0" w:type="auto"/>
          </w:tcPr>
          <w:p w:rsidR="00A2293F" w:rsidRDefault="00855B30" w:rsidP="001D4D92">
            <w:pPr>
              <w:jc w:val="center"/>
              <w:rPr>
                <w:lang w:val="en-US" w:bidi="en-US"/>
              </w:rPr>
            </w:pPr>
            <w:r w:rsidRPr="00136830">
              <w:rPr>
                <w:lang w:val="en-US" w:bidi="en-US"/>
              </w:rPr>
              <w:t>81</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Norway</w:t>
            </w:r>
          </w:p>
        </w:tc>
        <w:tc>
          <w:tcPr>
            <w:tcW w:w="0" w:type="auto"/>
            <w:vAlign w:val="center"/>
          </w:tcPr>
          <w:p w:rsidR="00855B30" w:rsidRPr="00136830" w:rsidRDefault="00855B30" w:rsidP="001D4D92">
            <w:pPr>
              <w:jc w:val="center"/>
              <w:rPr>
                <w:lang w:val="en-US" w:bidi="en-US"/>
              </w:rPr>
            </w:pPr>
            <w:r w:rsidRPr="00136830">
              <w:rPr>
                <w:lang w:val="en-US" w:bidi="en-US"/>
              </w:rPr>
              <w:t>13</w:t>
            </w:r>
          </w:p>
        </w:tc>
        <w:tc>
          <w:tcPr>
            <w:tcW w:w="0" w:type="auto"/>
            <w:vAlign w:val="center"/>
          </w:tcPr>
          <w:p w:rsidR="00855B30" w:rsidRPr="00136830" w:rsidRDefault="00855B30" w:rsidP="001D4D92">
            <w:pPr>
              <w:jc w:val="center"/>
              <w:rPr>
                <w:lang w:val="en-US" w:bidi="en-US"/>
              </w:rPr>
            </w:pPr>
            <w:r w:rsidRPr="00136830">
              <w:rPr>
                <w:lang w:val="en-US" w:bidi="en-US"/>
              </w:rPr>
              <w:t>5</w:t>
            </w:r>
          </w:p>
        </w:tc>
        <w:tc>
          <w:tcPr>
            <w:tcW w:w="0" w:type="auto"/>
            <w:vAlign w:val="center"/>
          </w:tcPr>
          <w:p w:rsidR="00855B30" w:rsidRPr="00136830" w:rsidRDefault="00855B30" w:rsidP="001D4D92">
            <w:pPr>
              <w:jc w:val="center"/>
              <w:rPr>
                <w:lang w:val="en-US" w:bidi="en-US"/>
              </w:rPr>
            </w:pPr>
            <w:r w:rsidRPr="00136830">
              <w:rPr>
                <w:lang w:val="en-US" w:bidi="en-US"/>
              </w:rPr>
              <w:t>24</w:t>
            </w:r>
          </w:p>
        </w:tc>
        <w:tc>
          <w:tcPr>
            <w:tcW w:w="0" w:type="auto"/>
            <w:vAlign w:val="center"/>
          </w:tcPr>
          <w:p w:rsidR="00A2293F" w:rsidRDefault="00855B30" w:rsidP="001D4D92">
            <w:pPr>
              <w:jc w:val="center"/>
              <w:rPr>
                <w:lang w:val="en-US" w:bidi="en-US"/>
              </w:rPr>
            </w:pPr>
            <w:r w:rsidRPr="00136830">
              <w:rPr>
                <w:lang w:val="en-US" w:bidi="en-US"/>
              </w:rPr>
              <w:t>21</w:t>
            </w:r>
          </w:p>
        </w:tc>
        <w:tc>
          <w:tcPr>
            <w:tcW w:w="0" w:type="auto"/>
          </w:tcPr>
          <w:p w:rsidR="00A2293F" w:rsidRDefault="00855B30" w:rsidP="001D4D92">
            <w:pPr>
              <w:jc w:val="center"/>
              <w:rPr>
                <w:lang w:val="en-US" w:bidi="en-US"/>
              </w:rPr>
            </w:pPr>
            <w:r w:rsidRPr="00136830">
              <w:rPr>
                <w:lang w:val="en-US" w:bidi="en-US"/>
              </w:rPr>
              <w:t>25</w:t>
            </w:r>
          </w:p>
        </w:tc>
        <w:tc>
          <w:tcPr>
            <w:tcW w:w="0" w:type="auto"/>
          </w:tcPr>
          <w:p w:rsidR="00A2293F" w:rsidRDefault="00855B30" w:rsidP="001D4D92">
            <w:pPr>
              <w:jc w:val="center"/>
              <w:rPr>
                <w:lang w:val="en-US" w:bidi="en-US"/>
              </w:rPr>
            </w:pPr>
            <w:r w:rsidRPr="00136830">
              <w:rPr>
                <w:lang w:val="en-US" w:bidi="en-US"/>
              </w:rPr>
              <w:t>57</w:t>
            </w:r>
          </w:p>
        </w:tc>
        <w:tc>
          <w:tcPr>
            <w:tcW w:w="0" w:type="auto"/>
          </w:tcPr>
          <w:p w:rsidR="00A2293F" w:rsidRDefault="00855B30" w:rsidP="001D4D92">
            <w:pPr>
              <w:jc w:val="center"/>
              <w:rPr>
                <w:lang w:val="en-US" w:bidi="en-US"/>
              </w:rPr>
            </w:pPr>
            <w:r w:rsidRPr="00136830">
              <w:rPr>
                <w:lang w:val="en-US" w:bidi="en-US"/>
              </w:rPr>
              <w:t>74</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Poland</w:t>
            </w:r>
          </w:p>
        </w:tc>
        <w:tc>
          <w:tcPr>
            <w:tcW w:w="0" w:type="auto"/>
            <w:vAlign w:val="center"/>
          </w:tcPr>
          <w:p w:rsidR="00855B30" w:rsidRPr="00136830" w:rsidRDefault="00855B30" w:rsidP="001D4D92">
            <w:pPr>
              <w:jc w:val="center"/>
              <w:rPr>
                <w:lang w:val="en-US" w:bidi="en-US"/>
              </w:rPr>
            </w:pPr>
            <w:r w:rsidRPr="00136830">
              <w:rPr>
                <w:lang w:val="en-US" w:bidi="en-US"/>
              </w:rPr>
              <w:t>26</w:t>
            </w:r>
          </w:p>
        </w:tc>
        <w:tc>
          <w:tcPr>
            <w:tcW w:w="0" w:type="auto"/>
            <w:vAlign w:val="center"/>
          </w:tcPr>
          <w:p w:rsidR="00855B30" w:rsidRPr="00136830" w:rsidRDefault="00855B30" w:rsidP="001D4D92">
            <w:pPr>
              <w:jc w:val="center"/>
              <w:rPr>
                <w:lang w:val="en-US" w:bidi="en-US"/>
              </w:rPr>
            </w:pPr>
            <w:r w:rsidRPr="00136830">
              <w:rPr>
                <w:lang w:val="en-US" w:bidi="en-US"/>
              </w:rPr>
              <w:t>18</w:t>
            </w:r>
          </w:p>
        </w:tc>
        <w:tc>
          <w:tcPr>
            <w:tcW w:w="0" w:type="auto"/>
            <w:vAlign w:val="center"/>
          </w:tcPr>
          <w:p w:rsidR="00855B30" w:rsidRPr="00136830" w:rsidRDefault="00855B30" w:rsidP="001D4D92">
            <w:pPr>
              <w:jc w:val="center"/>
              <w:rPr>
                <w:lang w:val="en-US" w:bidi="en-US"/>
              </w:rPr>
            </w:pPr>
            <w:r w:rsidRPr="00136830">
              <w:rPr>
                <w:lang w:val="en-US" w:bidi="en-US"/>
              </w:rPr>
              <w:t>40</w:t>
            </w:r>
          </w:p>
        </w:tc>
        <w:tc>
          <w:tcPr>
            <w:tcW w:w="0" w:type="auto"/>
            <w:vAlign w:val="center"/>
          </w:tcPr>
          <w:p w:rsidR="00A2293F" w:rsidRDefault="00855B30" w:rsidP="001D4D92">
            <w:pPr>
              <w:jc w:val="center"/>
              <w:rPr>
                <w:lang w:val="en-US" w:bidi="en-US"/>
              </w:rPr>
            </w:pPr>
            <w:r w:rsidRPr="00136830">
              <w:rPr>
                <w:lang w:val="en-US" w:bidi="en-US"/>
              </w:rPr>
              <w:t>26</w:t>
            </w:r>
          </w:p>
        </w:tc>
        <w:tc>
          <w:tcPr>
            <w:tcW w:w="0" w:type="auto"/>
          </w:tcPr>
          <w:p w:rsidR="00A2293F" w:rsidRDefault="00855B30" w:rsidP="001D4D92">
            <w:pPr>
              <w:jc w:val="center"/>
              <w:rPr>
                <w:lang w:val="en-US" w:bidi="en-US"/>
              </w:rPr>
            </w:pPr>
            <w:r w:rsidRPr="00136830">
              <w:rPr>
                <w:lang w:val="en-US" w:bidi="en-US"/>
              </w:rPr>
              <w:t>44</w:t>
            </w:r>
          </w:p>
        </w:tc>
        <w:tc>
          <w:tcPr>
            <w:tcW w:w="0" w:type="auto"/>
          </w:tcPr>
          <w:p w:rsidR="00A2293F" w:rsidRDefault="00855B30" w:rsidP="001D4D92">
            <w:pPr>
              <w:jc w:val="center"/>
              <w:rPr>
                <w:lang w:val="en-US" w:bidi="en-US"/>
              </w:rPr>
            </w:pPr>
            <w:r w:rsidRPr="00136830">
              <w:rPr>
                <w:lang w:val="en-US" w:bidi="en-US"/>
              </w:rPr>
              <w:t>74</w:t>
            </w:r>
          </w:p>
        </w:tc>
        <w:tc>
          <w:tcPr>
            <w:tcW w:w="0" w:type="auto"/>
          </w:tcPr>
          <w:p w:rsidR="00A2293F" w:rsidRDefault="00855B30" w:rsidP="001D4D92">
            <w:pPr>
              <w:jc w:val="center"/>
              <w:rPr>
                <w:lang w:val="en-US" w:bidi="en-US"/>
              </w:rPr>
            </w:pPr>
            <w:r w:rsidRPr="00136830">
              <w:rPr>
                <w:lang w:val="en-US" w:bidi="en-US"/>
              </w:rPr>
              <w:t>85</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Spain</w:t>
            </w:r>
          </w:p>
        </w:tc>
        <w:tc>
          <w:tcPr>
            <w:tcW w:w="0" w:type="auto"/>
            <w:vAlign w:val="center"/>
          </w:tcPr>
          <w:p w:rsidR="00855B30" w:rsidRPr="00136830" w:rsidRDefault="00855B30" w:rsidP="001D4D92">
            <w:pPr>
              <w:jc w:val="center"/>
              <w:rPr>
                <w:lang w:val="en-US" w:bidi="en-US"/>
              </w:rPr>
            </w:pPr>
            <w:r w:rsidRPr="00136830">
              <w:rPr>
                <w:lang w:val="en-US" w:bidi="en-US"/>
              </w:rPr>
              <w:t>32</w:t>
            </w:r>
          </w:p>
        </w:tc>
        <w:tc>
          <w:tcPr>
            <w:tcW w:w="0" w:type="auto"/>
            <w:vAlign w:val="center"/>
          </w:tcPr>
          <w:p w:rsidR="00855B30" w:rsidRPr="00136830" w:rsidRDefault="00855B30" w:rsidP="001D4D92">
            <w:pPr>
              <w:jc w:val="center"/>
              <w:rPr>
                <w:lang w:val="en-US" w:bidi="en-US"/>
              </w:rPr>
            </w:pPr>
            <w:r w:rsidRPr="00136830">
              <w:rPr>
                <w:lang w:val="en-US" w:bidi="en-US"/>
              </w:rPr>
              <w:t>6</w:t>
            </w:r>
          </w:p>
        </w:tc>
        <w:tc>
          <w:tcPr>
            <w:tcW w:w="0" w:type="auto"/>
            <w:vAlign w:val="center"/>
          </w:tcPr>
          <w:p w:rsidR="00855B30" w:rsidRPr="00136830" w:rsidRDefault="00855B30" w:rsidP="001D4D92">
            <w:pPr>
              <w:jc w:val="center"/>
              <w:rPr>
                <w:lang w:val="en-US" w:bidi="en-US"/>
              </w:rPr>
            </w:pPr>
            <w:r w:rsidRPr="00136830">
              <w:rPr>
                <w:lang w:val="en-US" w:bidi="en-US"/>
              </w:rPr>
              <w:t>29</w:t>
            </w:r>
          </w:p>
        </w:tc>
        <w:tc>
          <w:tcPr>
            <w:tcW w:w="0" w:type="auto"/>
            <w:vAlign w:val="center"/>
          </w:tcPr>
          <w:p w:rsidR="00A2293F" w:rsidRDefault="00855B30" w:rsidP="001D4D92">
            <w:pPr>
              <w:jc w:val="center"/>
              <w:rPr>
                <w:lang w:val="en-US" w:bidi="en-US"/>
              </w:rPr>
            </w:pPr>
            <w:r w:rsidRPr="00136830">
              <w:rPr>
                <w:lang w:val="en-US" w:bidi="en-US"/>
              </w:rPr>
              <w:t>38</w:t>
            </w:r>
          </w:p>
        </w:tc>
        <w:tc>
          <w:tcPr>
            <w:tcW w:w="0" w:type="auto"/>
          </w:tcPr>
          <w:p w:rsidR="00A2293F" w:rsidRDefault="00855B30" w:rsidP="001D4D92">
            <w:pPr>
              <w:jc w:val="center"/>
              <w:rPr>
                <w:lang w:val="en-US" w:bidi="en-US"/>
              </w:rPr>
            </w:pPr>
            <w:r w:rsidRPr="00136830">
              <w:rPr>
                <w:lang w:val="en-US" w:bidi="en-US"/>
              </w:rPr>
              <w:t>27</w:t>
            </w:r>
          </w:p>
        </w:tc>
        <w:tc>
          <w:tcPr>
            <w:tcW w:w="0" w:type="auto"/>
          </w:tcPr>
          <w:p w:rsidR="00A2293F" w:rsidRDefault="00855B30" w:rsidP="001D4D92">
            <w:pPr>
              <w:jc w:val="center"/>
              <w:rPr>
                <w:lang w:val="en-US" w:bidi="en-US"/>
              </w:rPr>
            </w:pPr>
            <w:r w:rsidRPr="00136830">
              <w:rPr>
                <w:lang w:val="en-US" w:bidi="en-US"/>
              </w:rPr>
              <w:t>56</w:t>
            </w:r>
          </w:p>
        </w:tc>
        <w:tc>
          <w:tcPr>
            <w:tcW w:w="0" w:type="auto"/>
          </w:tcPr>
          <w:p w:rsidR="00A2293F" w:rsidRDefault="00855B30" w:rsidP="001D4D92">
            <w:pPr>
              <w:jc w:val="center"/>
              <w:rPr>
                <w:lang w:val="en-US" w:bidi="en-US"/>
              </w:rPr>
            </w:pPr>
            <w:r w:rsidRPr="00136830">
              <w:rPr>
                <w:lang w:val="en-US" w:bidi="en-US"/>
              </w:rPr>
              <w:t>86</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Sweden</w:t>
            </w:r>
          </w:p>
        </w:tc>
        <w:tc>
          <w:tcPr>
            <w:tcW w:w="0" w:type="auto"/>
            <w:vAlign w:val="center"/>
          </w:tcPr>
          <w:p w:rsidR="00855B30" w:rsidRPr="00136830" w:rsidRDefault="00855B30" w:rsidP="001D4D92">
            <w:pPr>
              <w:jc w:val="center"/>
              <w:rPr>
                <w:lang w:val="en-US" w:bidi="en-US"/>
              </w:rPr>
            </w:pPr>
            <w:r w:rsidRPr="00136830">
              <w:rPr>
                <w:lang w:val="en-US" w:bidi="en-US"/>
              </w:rPr>
              <w:t>27</w:t>
            </w:r>
          </w:p>
        </w:tc>
        <w:tc>
          <w:tcPr>
            <w:tcW w:w="0" w:type="auto"/>
            <w:vAlign w:val="center"/>
          </w:tcPr>
          <w:p w:rsidR="00855B30" w:rsidRPr="00136830" w:rsidRDefault="00855B30" w:rsidP="001D4D92">
            <w:pPr>
              <w:jc w:val="center"/>
              <w:rPr>
                <w:lang w:val="en-US" w:bidi="en-US"/>
              </w:rPr>
            </w:pPr>
            <w:r w:rsidRPr="00136830">
              <w:rPr>
                <w:lang w:val="en-US" w:bidi="en-US"/>
              </w:rPr>
              <w:t>11</w:t>
            </w:r>
          </w:p>
        </w:tc>
        <w:tc>
          <w:tcPr>
            <w:tcW w:w="0" w:type="auto"/>
            <w:vAlign w:val="center"/>
          </w:tcPr>
          <w:p w:rsidR="00855B30" w:rsidRPr="00136830" w:rsidRDefault="00855B30" w:rsidP="001D4D92">
            <w:pPr>
              <w:jc w:val="center"/>
              <w:rPr>
                <w:lang w:val="en-US" w:bidi="en-US"/>
              </w:rPr>
            </w:pPr>
            <w:r w:rsidRPr="00136830">
              <w:rPr>
                <w:lang w:val="en-US" w:bidi="en-US"/>
              </w:rPr>
              <w:t>29</w:t>
            </w:r>
          </w:p>
        </w:tc>
        <w:tc>
          <w:tcPr>
            <w:tcW w:w="0" w:type="auto"/>
            <w:vAlign w:val="center"/>
          </w:tcPr>
          <w:p w:rsidR="00A2293F" w:rsidRDefault="00855B30" w:rsidP="001D4D92">
            <w:pPr>
              <w:jc w:val="center"/>
              <w:rPr>
                <w:lang w:val="en-US" w:bidi="en-US"/>
              </w:rPr>
            </w:pPr>
            <w:r w:rsidRPr="00136830">
              <w:rPr>
                <w:lang w:val="en-US" w:bidi="en-US"/>
              </w:rPr>
              <w:t>22</w:t>
            </w:r>
          </w:p>
        </w:tc>
        <w:tc>
          <w:tcPr>
            <w:tcW w:w="0" w:type="auto"/>
          </w:tcPr>
          <w:p w:rsidR="00A2293F" w:rsidRDefault="00855B30" w:rsidP="001D4D92">
            <w:pPr>
              <w:jc w:val="center"/>
              <w:rPr>
                <w:lang w:val="en-US" w:bidi="en-US"/>
              </w:rPr>
            </w:pPr>
            <w:r w:rsidRPr="00136830">
              <w:rPr>
                <w:lang w:val="en-US" w:bidi="en-US"/>
              </w:rPr>
              <w:t>34</w:t>
            </w:r>
          </w:p>
        </w:tc>
        <w:tc>
          <w:tcPr>
            <w:tcW w:w="0" w:type="auto"/>
          </w:tcPr>
          <w:p w:rsidR="00A2293F" w:rsidRDefault="00855B30" w:rsidP="001D4D92">
            <w:pPr>
              <w:jc w:val="center"/>
              <w:rPr>
                <w:lang w:val="en-US" w:bidi="en-US"/>
              </w:rPr>
            </w:pPr>
            <w:r w:rsidRPr="00136830">
              <w:rPr>
                <w:lang w:val="en-US" w:bidi="en-US"/>
              </w:rPr>
              <w:t>28</w:t>
            </w:r>
          </w:p>
        </w:tc>
        <w:tc>
          <w:tcPr>
            <w:tcW w:w="0" w:type="auto"/>
          </w:tcPr>
          <w:p w:rsidR="00A2293F" w:rsidRDefault="00855B30" w:rsidP="001D4D92">
            <w:pPr>
              <w:jc w:val="center"/>
              <w:rPr>
                <w:lang w:val="en-US" w:bidi="en-US"/>
              </w:rPr>
            </w:pPr>
            <w:r w:rsidRPr="00136830">
              <w:rPr>
                <w:lang w:val="en-US" w:bidi="en-US"/>
              </w:rPr>
              <w:t>73</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Switzerland</w:t>
            </w:r>
          </w:p>
        </w:tc>
        <w:tc>
          <w:tcPr>
            <w:tcW w:w="0" w:type="auto"/>
            <w:vAlign w:val="center"/>
          </w:tcPr>
          <w:p w:rsidR="00855B30" w:rsidRPr="00136830" w:rsidRDefault="00855B30" w:rsidP="001D4D92">
            <w:pPr>
              <w:jc w:val="center"/>
              <w:rPr>
                <w:lang w:val="en-US" w:bidi="en-US"/>
              </w:rPr>
            </w:pPr>
            <w:r w:rsidRPr="00136830">
              <w:rPr>
                <w:lang w:val="en-US" w:bidi="en-US"/>
              </w:rPr>
              <w:t>20</w:t>
            </w:r>
          </w:p>
        </w:tc>
        <w:tc>
          <w:tcPr>
            <w:tcW w:w="0" w:type="auto"/>
            <w:vAlign w:val="center"/>
          </w:tcPr>
          <w:p w:rsidR="00855B30" w:rsidRPr="00136830" w:rsidRDefault="00855B30" w:rsidP="001D4D92">
            <w:pPr>
              <w:jc w:val="center"/>
              <w:rPr>
                <w:lang w:val="en-US" w:bidi="en-US"/>
              </w:rPr>
            </w:pPr>
            <w:r w:rsidRPr="00136830">
              <w:rPr>
                <w:lang w:val="en-US" w:bidi="en-US"/>
              </w:rPr>
              <w:t>4</w:t>
            </w:r>
          </w:p>
        </w:tc>
        <w:tc>
          <w:tcPr>
            <w:tcW w:w="0" w:type="auto"/>
            <w:vAlign w:val="center"/>
          </w:tcPr>
          <w:p w:rsidR="00855B30" w:rsidRPr="00136830" w:rsidRDefault="00855B30" w:rsidP="001D4D92">
            <w:pPr>
              <w:jc w:val="center"/>
              <w:rPr>
                <w:lang w:val="en-US" w:bidi="en-US"/>
              </w:rPr>
            </w:pPr>
            <w:r w:rsidRPr="00136830">
              <w:rPr>
                <w:lang w:val="en-US" w:bidi="en-US"/>
              </w:rPr>
              <w:t>15</w:t>
            </w:r>
          </w:p>
        </w:tc>
        <w:tc>
          <w:tcPr>
            <w:tcW w:w="0" w:type="auto"/>
            <w:vAlign w:val="center"/>
          </w:tcPr>
          <w:p w:rsidR="00A2293F" w:rsidRDefault="00855B30" w:rsidP="001D4D92">
            <w:pPr>
              <w:jc w:val="center"/>
              <w:rPr>
                <w:lang w:val="en-US" w:bidi="en-US"/>
              </w:rPr>
            </w:pPr>
            <w:r w:rsidRPr="00136830">
              <w:rPr>
                <w:lang w:val="en-US" w:bidi="en-US"/>
              </w:rPr>
              <w:t>21</w:t>
            </w:r>
          </w:p>
        </w:tc>
        <w:tc>
          <w:tcPr>
            <w:tcW w:w="0" w:type="auto"/>
          </w:tcPr>
          <w:p w:rsidR="00A2293F" w:rsidRDefault="00855B30" w:rsidP="001D4D92">
            <w:pPr>
              <w:jc w:val="center"/>
              <w:rPr>
                <w:lang w:val="en-US" w:bidi="en-US"/>
              </w:rPr>
            </w:pPr>
            <w:r w:rsidRPr="00136830">
              <w:rPr>
                <w:lang w:val="en-US" w:bidi="en-US"/>
              </w:rPr>
              <w:t>28</w:t>
            </w:r>
          </w:p>
        </w:tc>
        <w:tc>
          <w:tcPr>
            <w:tcW w:w="0" w:type="auto"/>
          </w:tcPr>
          <w:p w:rsidR="00A2293F" w:rsidRDefault="00855B30" w:rsidP="001D4D92">
            <w:pPr>
              <w:jc w:val="center"/>
              <w:rPr>
                <w:lang w:val="en-US" w:bidi="en-US"/>
              </w:rPr>
            </w:pPr>
            <w:r w:rsidRPr="00136830">
              <w:rPr>
                <w:lang w:val="en-US" w:bidi="en-US"/>
              </w:rPr>
              <w:t>35</w:t>
            </w:r>
          </w:p>
        </w:tc>
        <w:tc>
          <w:tcPr>
            <w:tcW w:w="0" w:type="auto"/>
          </w:tcPr>
          <w:p w:rsidR="00A2293F" w:rsidRDefault="00855B30" w:rsidP="001D4D92">
            <w:pPr>
              <w:jc w:val="center"/>
              <w:rPr>
                <w:lang w:val="en-US" w:bidi="en-US"/>
              </w:rPr>
            </w:pPr>
            <w:r w:rsidRPr="00136830">
              <w:rPr>
                <w:lang w:val="en-US" w:bidi="en-US"/>
              </w:rPr>
              <w:t>75</w:t>
            </w:r>
          </w:p>
        </w:tc>
      </w:tr>
    </w:tbl>
    <w:p w:rsidR="00A2293F" w:rsidRDefault="00A2293F" w:rsidP="00A749DD">
      <w:pPr>
        <w:spacing w:line="480" w:lineRule="auto"/>
        <w:jc w:val="both"/>
        <w:rPr>
          <w:lang w:val="en-US"/>
        </w:rPr>
      </w:pPr>
    </w:p>
    <w:p w:rsidR="00A2293F" w:rsidRDefault="00855B30" w:rsidP="00A749DD">
      <w:pPr>
        <w:spacing w:line="480" w:lineRule="auto"/>
        <w:jc w:val="both"/>
        <w:rPr>
          <w:lang w:val="en-US"/>
        </w:rPr>
      </w:pPr>
      <w:r w:rsidRPr="00136830">
        <w:rPr>
          <w:lang w:val="en-US"/>
        </w:rPr>
        <w:t xml:space="preserve">As shown in Table 5, the percentage of patients who gave high overall ratings to their hospital ranged from 35% (166/469) in Spain to about 60% in Switzerland (587/976), Finland (1128/1862), and Ireland (171/282). High patient ratings are associated with the propensity to “definitely” recommend the hospital. Variability in what both nurses and patients experience within hospitals is, in general, even greater </w:t>
      </w:r>
      <w:r w:rsidRPr="00136830">
        <w:rPr>
          <w:iCs/>
          <w:lang w:val="en-US"/>
        </w:rPr>
        <w:t xml:space="preserve">within </w:t>
      </w:r>
      <w:r w:rsidRPr="00136830">
        <w:rPr>
          <w:lang w:val="en-US"/>
        </w:rPr>
        <w:t xml:space="preserve">countries than it is </w:t>
      </w:r>
      <w:r w:rsidRPr="00136830">
        <w:rPr>
          <w:iCs/>
          <w:lang w:val="en-US"/>
        </w:rPr>
        <w:t xml:space="preserve">between </w:t>
      </w:r>
      <w:r w:rsidRPr="00136830">
        <w:rPr>
          <w:lang w:val="en-US"/>
        </w:rPr>
        <w:t xml:space="preserve">countries, but the </w:t>
      </w:r>
      <w:r w:rsidRPr="00136830">
        <w:rPr>
          <w:iCs/>
          <w:lang w:val="en-US"/>
        </w:rPr>
        <w:t xml:space="preserve">relationships between indicators across hospitals </w:t>
      </w:r>
      <w:r w:rsidRPr="00136830">
        <w:rPr>
          <w:lang w:val="en-US"/>
        </w:rPr>
        <w:t xml:space="preserve">are quite similar. </w:t>
      </w:r>
    </w:p>
    <w:p w:rsidR="00A2293F" w:rsidRDefault="00FC6AB2" w:rsidP="00A749DD">
      <w:pPr>
        <w:spacing w:line="480" w:lineRule="auto"/>
        <w:jc w:val="both"/>
        <w:rPr>
          <w:lang w:val="en-US"/>
        </w:rPr>
      </w:pPr>
      <w:r w:rsidRPr="00FC6AB2">
        <w:rPr>
          <w:lang w:val="en-US"/>
        </w:rPr>
        <w:t>Table 5. Patient satisfaction with care in 12 RN4CAST countries</w:t>
      </w:r>
    </w:p>
    <w:tbl>
      <w:tblPr>
        <w:tblStyle w:val="Tabelraster"/>
        <w:tblW w:w="0" w:type="auto"/>
        <w:tblLook w:val="04A0"/>
      </w:tblPr>
      <w:tblGrid>
        <w:gridCol w:w="1259"/>
        <w:gridCol w:w="1207"/>
        <w:gridCol w:w="1782"/>
        <w:gridCol w:w="1432"/>
        <w:gridCol w:w="1519"/>
        <w:gridCol w:w="2089"/>
      </w:tblGrid>
      <w:tr w:rsidR="00855B30" w:rsidRPr="00B93129" w:rsidTr="001A7B0A">
        <w:tc>
          <w:tcPr>
            <w:tcW w:w="0" w:type="auto"/>
            <w:gridSpan w:val="6"/>
            <w:vAlign w:val="center"/>
          </w:tcPr>
          <w:p w:rsidR="00855B30" w:rsidRPr="00136830" w:rsidRDefault="00855B30" w:rsidP="001D4D92">
            <w:pPr>
              <w:jc w:val="center"/>
              <w:rPr>
                <w:b/>
                <w:lang w:val="en-US" w:bidi="en-US"/>
              </w:rPr>
            </w:pPr>
            <w:r w:rsidRPr="00136830">
              <w:rPr>
                <w:b/>
                <w:lang w:val="en-US" w:bidi="en-US"/>
              </w:rPr>
              <w:lastRenderedPageBreak/>
              <w:t>Patient reports – Percentages of patients who</w:t>
            </w:r>
          </w:p>
        </w:tc>
      </w:tr>
      <w:tr w:rsidR="00855B30" w:rsidRPr="00B93129" w:rsidTr="001A7B0A">
        <w:tc>
          <w:tcPr>
            <w:tcW w:w="0" w:type="auto"/>
            <w:vAlign w:val="center"/>
          </w:tcPr>
          <w:p w:rsidR="00855B30" w:rsidRPr="00136830" w:rsidRDefault="00855B30" w:rsidP="001D4D92">
            <w:pPr>
              <w:jc w:val="center"/>
              <w:rPr>
                <w:b/>
                <w:lang w:val="en-US" w:bidi="en-US"/>
              </w:rPr>
            </w:pPr>
            <w:r w:rsidRPr="00136830">
              <w:rPr>
                <w:b/>
                <w:lang w:val="en-US" w:bidi="en-US"/>
              </w:rPr>
              <w:t>Country</w:t>
            </w:r>
          </w:p>
        </w:tc>
        <w:tc>
          <w:tcPr>
            <w:tcW w:w="0" w:type="auto"/>
            <w:vAlign w:val="center"/>
          </w:tcPr>
          <w:p w:rsidR="00855B30" w:rsidRPr="00136830" w:rsidRDefault="00855B30" w:rsidP="001D4D92">
            <w:pPr>
              <w:jc w:val="center"/>
              <w:rPr>
                <w:b/>
                <w:lang w:val="en-US" w:bidi="en-US"/>
              </w:rPr>
            </w:pPr>
            <w:r w:rsidRPr="00136830">
              <w:rPr>
                <w:b/>
                <w:lang w:val="en-US" w:bidi="en-US"/>
              </w:rPr>
              <w:t>Rate the hospital 9 or 10</w:t>
            </w:r>
          </w:p>
        </w:tc>
        <w:tc>
          <w:tcPr>
            <w:tcW w:w="0" w:type="auto"/>
            <w:vAlign w:val="center"/>
          </w:tcPr>
          <w:p w:rsidR="00855B30" w:rsidRPr="00136830" w:rsidRDefault="00855B30" w:rsidP="001D4D92">
            <w:pPr>
              <w:jc w:val="center"/>
              <w:rPr>
                <w:b/>
                <w:lang w:val="en-US" w:bidi="en-US"/>
              </w:rPr>
            </w:pPr>
            <w:r w:rsidRPr="00136830">
              <w:rPr>
                <w:b/>
                <w:lang w:val="en-US" w:bidi="en-US"/>
              </w:rPr>
              <w:t>Would definitely recommend the hospital</w:t>
            </w:r>
          </w:p>
        </w:tc>
        <w:tc>
          <w:tcPr>
            <w:tcW w:w="0" w:type="auto"/>
            <w:vAlign w:val="center"/>
          </w:tcPr>
          <w:p w:rsidR="00855B30" w:rsidRPr="00136830" w:rsidRDefault="00855B30" w:rsidP="001D4D92">
            <w:pPr>
              <w:jc w:val="center"/>
              <w:rPr>
                <w:b/>
                <w:lang w:val="en-US" w:bidi="en-US"/>
              </w:rPr>
            </w:pPr>
            <w:r w:rsidRPr="00136830">
              <w:rPr>
                <w:b/>
                <w:lang w:val="en-US" w:bidi="en-US"/>
              </w:rPr>
              <w:t>Say nurses always treat them with respect</w:t>
            </w:r>
          </w:p>
        </w:tc>
        <w:tc>
          <w:tcPr>
            <w:tcW w:w="0" w:type="auto"/>
            <w:vAlign w:val="center"/>
          </w:tcPr>
          <w:p w:rsidR="00A2293F" w:rsidRDefault="00855B30" w:rsidP="001D4D92">
            <w:pPr>
              <w:jc w:val="center"/>
              <w:rPr>
                <w:b/>
                <w:lang w:val="en-US" w:bidi="en-US"/>
              </w:rPr>
            </w:pPr>
            <w:r w:rsidRPr="00136830">
              <w:rPr>
                <w:b/>
                <w:lang w:val="en-US" w:bidi="en-US"/>
              </w:rPr>
              <w:t>Say nurses always listen carefully to them</w:t>
            </w:r>
          </w:p>
        </w:tc>
        <w:tc>
          <w:tcPr>
            <w:tcW w:w="0" w:type="auto"/>
            <w:vAlign w:val="center"/>
          </w:tcPr>
          <w:p w:rsidR="00A2293F" w:rsidRDefault="00855B30" w:rsidP="001D4D92">
            <w:pPr>
              <w:jc w:val="center"/>
              <w:rPr>
                <w:b/>
                <w:lang w:val="en-US" w:bidi="en-US"/>
              </w:rPr>
            </w:pPr>
            <w:r w:rsidRPr="00136830">
              <w:rPr>
                <w:b/>
                <w:lang w:val="en-US" w:bidi="en-US"/>
              </w:rPr>
              <w:t>Say nurses always explain things in a way they could understand</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Belgium</w:t>
            </w:r>
          </w:p>
        </w:tc>
        <w:tc>
          <w:tcPr>
            <w:tcW w:w="0" w:type="auto"/>
            <w:vAlign w:val="center"/>
          </w:tcPr>
          <w:p w:rsidR="00855B30" w:rsidRPr="00136830" w:rsidRDefault="00855B30" w:rsidP="001D4D92">
            <w:pPr>
              <w:jc w:val="center"/>
              <w:rPr>
                <w:lang w:val="en-US" w:bidi="en-US"/>
              </w:rPr>
            </w:pPr>
            <w:r w:rsidRPr="00136830">
              <w:rPr>
                <w:lang w:val="en-US" w:bidi="en-US"/>
              </w:rPr>
              <w:t>47</w:t>
            </w:r>
          </w:p>
        </w:tc>
        <w:tc>
          <w:tcPr>
            <w:tcW w:w="0" w:type="auto"/>
            <w:vAlign w:val="center"/>
          </w:tcPr>
          <w:p w:rsidR="00855B30" w:rsidRPr="00136830" w:rsidRDefault="00855B30" w:rsidP="001D4D92">
            <w:pPr>
              <w:jc w:val="center"/>
              <w:rPr>
                <w:lang w:val="en-US" w:bidi="en-US"/>
              </w:rPr>
            </w:pPr>
            <w:r w:rsidRPr="00136830">
              <w:rPr>
                <w:lang w:val="en-US" w:bidi="en-US"/>
              </w:rPr>
              <w:t>60</w:t>
            </w:r>
          </w:p>
        </w:tc>
        <w:tc>
          <w:tcPr>
            <w:tcW w:w="0" w:type="auto"/>
            <w:vAlign w:val="center"/>
          </w:tcPr>
          <w:p w:rsidR="00855B30" w:rsidRPr="00136830" w:rsidRDefault="00855B30" w:rsidP="001D4D92">
            <w:pPr>
              <w:jc w:val="center"/>
              <w:rPr>
                <w:lang w:val="en-US" w:bidi="en-US"/>
              </w:rPr>
            </w:pPr>
            <w:r w:rsidRPr="00136830">
              <w:rPr>
                <w:lang w:val="en-US" w:bidi="en-US"/>
              </w:rPr>
              <w:t>76</w:t>
            </w:r>
          </w:p>
        </w:tc>
        <w:tc>
          <w:tcPr>
            <w:tcW w:w="0" w:type="auto"/>
            <w:vAlign w:val="center"/>
          </w:tcPr>
          <w:p w:rsidR="00A2293F" w:rsidRDefault="00855B30" w:rsidP="001D4D92">
            <w:pPr>
              <w:jc w:val="center"/>
              <w:rPr>
                <w:lang w:val="en-US" w:bidi="en-US"/>
              </w:rPr>
            </w:pPr>
            <w:r w:rsidRPr="00136830">
              <w:rPr>
                <w:lang w:val="en-US" w:bidi="en-US"/>
              </w:rPr>
              <w:t>58</w:t>
            </w:r>
          </w:p>
        </w:tc>
        <w:tc>
          <w:tcPr>
            <w:tcW w:w="0" w:type="auto"/>
          </w:tcPr>
          <w:p w:rsidR="00A2293F" w:rsidRDefault="00855B30" w:rsidP="001D4D92">
            <w:pPr>
              <w:jc w:val="center"/>
              <w:rPr>
                <w:lang w:val="en-US" w:bidi="en-US"/>
              </w:rPr>
            </w:pPr>
            <w:r w:rsidRPr="00136830">
              <w:rPr>
                <w:lang w:val="en-US" w:bidi="en-US"/>
              </w:rPr>
              <w:t>53</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Finland</w:t>
            </w:r>
          </w:p>
        </w:tc>
        <w:tc>
          <w:tcPr>
            <w:tcW w:w="0" w:type="auto"/>
            <w:vAlign w:val="center"/>
          </w:tcPr>
          <w:p w:rsidR="00855B30" w:rsidRPr="00136830" w:rsidRDefault="00855B30" w:rsidP="001D4D92">
            <w:pPr>
              <w:jc w:val="center"/>
              <w:rPr>
                <w:lang w:val="en-US" w:bidi="en-US"/>
              </w:rPr>
            </w:pPr>
            <w:r w:rsidRPr="00136830">
              <w:rPr>
                <w:lang w:val="en-US" w:bidi="en-US"/>
              </w:rPr>
              <w:t>61</w:t>
            </w:r>
          </w:p>
        </w:tc>
        <w:tc>
          <w:tcPr>
            <w:tcW w:w="0" w:type="auto"/>
            <w:vAlign w:val="center"/>
          </w:tcPr>
          <w:p w:rsidR="00855B30" w:rsidRPr="00136830" w:rsidRDefault="00855B30" w:rsidP="001D4D92">
            <w:pPr>
              <w:jc w:val="center"/>
              <w:rPr>
                <w:lang w:val="en-US" w:bidi="en-US"/>
              </w:rPr>
            </w:pPr>
            <w:r w:rsidRPr="00136830">
              <w:rPr>
                <w:lang w:val="en-US" w:bidi="en-US"/>
              </w:rPr>
              <w:t>67</w:t>
            </w:r>
          </w:p>
        </w:tc>
        <w:tc>
          <w:tcPr>
            <w:tcW w:w="0" w:type="auto"/>
            <w:vAlign w:val="center"/>
          </w:tcPr>
          <w:p w:rsidR="00855B30" w:rsidRPr="00136830" w:rsidRDefault="00855B30" w:rsidP="001D4D92">
            <w:pPr>
              <w:jc w:val="center"/>
              <w:rPr>
                <w:lang w:val="en-US" w:bidi="en-US"/>
              </w:rPr>
            </w:pPr>
            <w:r w:rsidRPr="00136830">
              <w:rPr>
                <w:lang w:val="en-US" w:bidi="en-US"/>
              </w:rPr>
              <w:t>73</w:t>
            </w:r>
          </w:p>
        </w:tc>
        <w:tc>
          <w:tcPr>
            <w:tcW w:w="0" w:type="auto"/>
            <w:vAlign w:val="center"/>
          </w:tcPr>
          <w:p w:rsidR="00A2293F" w:rsidRDefault="00855B30" w:rsidP="001D4D92">
            <w:pPr>
              <w:jc w:val="center"/>
              <w:rPr>
                <w:lang w:val="en-US" w:bidi="en-US"/>
              </w:rPr>
            </w:pPr>
            <w:r w:rsidRPr="00136830">
              <w:rPr>
                <w:lang w:val="en-US" w:bidi="en-US"/>
              </w:rPr>
              <w:t>58</w:t>
            </w:r>
          </w:p>
        </w:tc>
        <w:tc>
          <w:tcPr>
            <w:tcW w:w="0" w:type="auto"/>
          </w:tcPr>
          <w:p w:rsidR="00A2293F" w:rsidRDefault="00855B30" w:rsidP="001D4D92">
            <w:pPr>
              <w:jc w:val="center"/>
              <w:rPr>
                <w:lang w:val="en-US" w:bidi="en-US"/>
              </w:rPr>
            </w:pPr>
            <w:r w:rsidRPr="00136830">
              <w:rPr>
                <w:lang w:val="en-US" w:bidi="en-US"/>
              </w:rPr>
              <w:t>60</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Germany</w:t>
            </w:r>
          </w:p>
        </w:tc>
        <w:tc>
          <w:tcPr>
            <w:tcW w:w="0" w:type="auto"/>
            <w:vAlign w:val="center"/>
          </w:tcPr>
          <w:p w:rsidR="00855B30" w:rsidRPr="00136830" w:rsidRDefault="00855B30" w:rsidP="001D4D92">
            <w:pPr>
              <w:jc w:val="center"/>
              <w:rPr>
                <w:lang w:val="en-US" w:bidi="en-US"/>
              </w:rPr>
            </w:pPr>
            <w:r w:rsidRPr="00136830">
              <w:rPr>
                <w:lang w:val="en-US" w:bidi="en-US"/>
              </w:rPr>
              <w:t>48</w:t>
            </w:r>
          </w:p>
        </w:tc>
        <w:tc>
          <w:tcPr>
            <w:tcW w:w="0" w:type="auto"/>
            <w:vAlign w:val="center"/>
          </w:tcPr>
          <w:p w:rsidR="00855B30" w:rsidRPr="00136830" w:rsidRDefault="00855B30" w:rsidP="001D4D92">
            <w:pPr>
              <w:jc w:val="center"/>
              <w:rPr>
                <w:lang w:val="en-US" w:bidi="en-US"/>
              </w:rPr>
            </w:pPr>
            <w:r w:rsidRPr="00136830">
              <w:rPr>
                <w:lang w:val="en-US" w:bidi="en-US"/>
              </w:rPr>
              <w:t>66</w:t>
            </w:r>
          </w:p>
        </w:tc>
        <w:tc>
          <w:tcPr>
            <w:tcW w:w="0" w:type="auto"/>
            <w:vAlign w:val="center"/>
          </w:tcPr>
          <w:p w:rsidR="00855B30" w:rsidRPr="00136830" w:rsidRDefault="00855B30" w:rsidP="001D4D92">
            <w:pPr>
              <w:jc w:val="center"/>
              <w:rPr>
                <w:lang w:val="en-US" w:bidi="en-US"/>
              </w:rPr>
            </w:pPr>
            <w:r w:rsidRPr="00136830">
              <w:rPr>
                <w:lang w:val="en-US" w:bidi="en-US"/>
              </w:rPr>
              <w:t>75</w:t>
            </w:r>
          </w:p>
        </w:tc>
        <w:tc>
          <w:tcPr>
            <w:tcW w:w="0" w:type="auto"/>
            <w:vAlign w:val="center"/>
          </w:tcPr>
          <w:p w:rsidR="00A2293F" w:rsidRDefault="00855B30" w:rsidP="001D4D92">
            <w:pPr>
              <w:jc w:val="center"/>
              <w:rPr>
                <w:lang w:val="en-US" w:bidi="en-US"/>
              </w:rPr>
            </w:pPr>
            <w:r w:rsidRPr="00136830">
              <w:rPr>
                <w:lang w:val="en-US" w:bidi="en-US"/>
              </w:rPr>
              <w:t>52</w:t>
            </w:r>
          </w:p>
        </w:tc>
        <w:tc>
          <w:tcPr>
            <w:tcW w:w="0" w:type="auto"/>
          </w:tcPr>
          <w:p w:rsidR="00A2293F" w:rsidRDefault="00855B30" w:rsidP="001D4D92">
            <w:pPr>
              <w:jc w:val="center"/>
              <w:rPr>
                <w:lang w:val="en-US" w:bidi="en-US"/>
              </w:rPr>
            </w:pPr>
            <w:r w:rsidRPr="00136830">
              <w:rPr>
                <w:lang w:val="en-US" w:bidi="en-US"/>
              </w:rPr>
              <w:t>50</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Greece</w:t>
            </w:r>
          </w:p>
        </w:tc>
        <w:tc>
          <w:tcPr>
            <w:tcW w:w="0" w:type="auto"/>
            <w:vAlign w:val="center"/>
          </w:tcPr>
          <w:p w:rsidR="00855B30" w:rsidRPr="00136830" w:rsidRDefault="00855B30" w:rsidP="001D4D92">
            <w:pPr>
              <w:jc w:val="center"/>
              <w:rPr>
                <w:lang w:val="en-US" w:bidi="en-US"/>
              </w:rPr>
            </w:pPr>
            <w:r w:rsidRPr="00136830">
              <w:rPr>
                <w:lang w:val="en-US" w:bidi="en-US"/>
              </w:rPr>
              <w:t>42</w:t>
            </w:r>
          </w:p>
        </w:tc>
        <w:tc>
          <w:tcPr>
            <w:tcW w:w="0" w:type="auto"/>
            <w:vAlign w:val="center"/>
          </w:tcPr>
          <w:p w:rsidR="00855B30" w:rsidRPr="00136830" w:rsidRDefault="00855B30" w:rsidP="001D4D92">
            <w:pPr>
              <w:jc w:val="center"/>
              <w:rPr>
                <w:lang w:val="en-US" w:bidi="en-US"/>
              </w:rPr>
            </w:pPr>
            <w:r w:rsidRPr="00136830">
              <w:rPr>
                <w:lang w:val="en-US" w:bidi="en-US"/>
              </w:rPr>
              <w:t>53</w:t>
            </w:r>
          </w:p>
        </w:tc>
        <w:tc>
          <w:tcPr>
            <w:tcW w:w="0" w:type="auto"/>
            <w:vAlign w:val="center"/>
          </w:tcPr>
          <w:p w:rsidR="00855B30" w:rsidRPr="00136830" w:rsidRDefault="00855B30" w:rsidP="001D4D92">
            <w:pPr>
              <w:jc w:val="center"/>
              <w:rPr>
                <w:lang w:val="en-US" w:bidi="en-US"/>
              </w:rPr>
            </w:pPr>
            <w:r w:rsidRPr="00136830">
              <w:rPr>
                <w:lang w:val="en-US" w:bidi="en-US"/>
              </w:rPr>
              <w:t>75</w:t>
            </w:r>
          </w:p>
        </w:tc>
        <w:tc>
          <w:tcPr>
            <w:tcW w:w="0" w:type="auto"/>
            <w:vAlign w:val="center"/>
          </w:tcPr>
          <w:p w:rsidR="00A2293F" w:rsidRDefault="00855B30" w:rsidP="001D4D92">
            <w:pPr>
              <w:jc w:val="center"/>
              <w:rPr>
                <w:lang w:val="en-US" w:bidi="en-US"/>
              </w:rPr>
            </w:pPr>
            <w:r w:rsidRPr="00136830">
              <w:rPr>
                <w:lang w:val="en-US" w:bidi="en-US"/>
              </w:rPr>
              <w:t>65</w:t>
            </w:r>
          </w:p>
        </w:tc>
        <w:tc>
          <w:tcPr>
            <w:tcW w:w="0" w:type="auto"/>
          </w:tcPr>
          <w:p w:rsidR="00A2293F" w:rsidRDefault="00855B30" w:rsidP="001D4D92">
            <w:pPr>
              <w:jc w:val="center"/>
              <w:rPr>
                <w:lang w:val="en-US" w:bidi="en-US"/>
              </w:rPr>
            </w:pPr>
            <w:r w:rsidRPr="00136830">
              <w:rPr>
                <w:lang w:val="en-US" w:bidi="en-US"/>
              </w:rPr>
              <w:t>39</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Ireland</w:t>
            </w:r>
          </w:p>
        </w:tc>
        <w:tc>
          <w:tcPr>
            <w:tcW w:w="0" w:type="auto"/>
            <w:vAlign w:val="center"/>
          </w:tcPr>
          <w:p w:rsidR="00855B30" w:rsidRPr="00136830" w:rsidRDefault="00855B30" w:rsidP="001D4D92">
            <w:pPr>
              <w:jc w:val="center"/>
              <w:rPr>
                <w:lang w:val="en-US" w:bidi="en-US"/>
              </w:rPr>
            </w:pPr>
            <w:r w:rsidRPr="00136830">
              <w:rPr>
                <w:lang w:val="en-US" w:bidi="en-US"/>
              </w:rPr>
              <w:t>61</w:t>
            </w:r>
          </w:p>
        </w:tc>
        <w:tc>
          <w:tcPr>
            <w:tcW w:w="0" w:type="auto"/>
            <w:vAlign w:val="center"/>
          </w:tcPr>
          <w:p w:rsidR="00855B30" w:rsidRPr="00136830" w:rsidRDefault="00855B30" w:rsidP="001D4D92">
            <w:pPr>
              <w:jc w:val="center"/>
              <w:rPr>
                <w:lang w:val="en-US" w:bidi="en-US"/>
              </w:rPr>
            </w:pPr>
            <w:r w:rsidRPr="00136830">
              <w:rPr>
                <w:lang w:val="en-US" w:bidi="en-US"/>
              </w:rPr>
              <w:t>74</w:t>
            </w:r>
          </w:p>
        </w:tc>
        <w:tc>
          <w:tcPr>
            <w:tcW w:w="0" w:type="auto"/>
            <w:vAlign w:val="center"/>
          </w:tcPr>
          <w:p w:rsidR="00855B30" w:rsidRPr="00136830" w:rsidRDefault="00855B30" w:rsidP="001D4D92">
            <w:pPr>
              <w:jc w:val="center"/>
              <w:rPr>
                <w:lang w:val="en-US" w:bidi="en-US"/>
              </w:rPr>
            </w:pPr>
            <w:r w:rsidRPr="00136830">
              <w:rPr>
                <w:lang w:val="en-US" w:bidi="en-US"/>
              </w:rPr>
              <w:t>86</w:t>
            </w:r>
          </w:p>
        </w:tc>
        <w:tc>
          <w:tcPr>
            <w:tcW w:w="0" w:type="auto"/>
            <w:vAlign w:val="center"/>
          </w:tcPr>
          <w:p w:rsidR="00A2293F" w:rsidRDefault="00855B30" w:rsidP="001D4D92">
            <w:pPr>
              <w:jc w:val="center"/>
              <w:rPr>
                <w:lang w:val="en-US" w:bidi="en-US"/>
              </w:rPr>
            </w:pPr>
            <w:r w:rsidRPr="00136830">
              <w:rPr>
                <w:lang w:val="en-US" w:bidi="en-US"/>
              </w:rPr>
              <w:t>70</w:t>
            </w:r>
          </w:p>
        </w:tc>
        <w:tc>
          <w:tcPr>
            <w:tcW w:w="0" w:type="auto"/>
          </w:tcPr>
          <w:p w:rsidR="00A2293F" w:rsidRDefault="00855B30" w:rsidP="001D4D92">
            <w:pPr>
              <w:jc w:val="center"/>
              <w:rPr>
                <w:lang w:val="en-US" w:bidi="en-US"/>
              </w:rPr>
            </w:pPr>
            <w:r w:rsidRPr="00136830">
              <w:rPr>
                <w:lang w:val="en-US" w:bidi="en-US"/>
              </w:rPr>
              <w:t>66</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Poland</w:t>
            </w:r>
          </w:p>
        </w:tc>
        <w:tc>
          <w:tcPr>
            <w:tcW w:w="0" w:type="auto"/>
            <w:vAlign w:val="center"/>
          </w:tcPr>
          <w:p w:rsidR="00855B30" w:rsidRPr="00136830" w:rsidRDefault="00855B30" w:rsidP="001D4D92">
            <w:pPr>
              <w:jc w:val="center"/>
              <w:rPr>
                <w:lang w:val="en-US" w:bidi="en-US"/>
              </w:rPr>
            </w:pPr>
            <w:r w:rsidRPr="00136830">
              <w:rPr>
                <w:lang w:val="en-US" w:bidi="en-US"/>
              </w:rPr>
              <w:t>55</w:t>
            </w:r>
          </w:p>
        </w:tc>
        <w:tc>
          <w:tcPr>
            <w:tcW w:w="0" w:type="auto"/>
            <w:vAlign w:val="center"/>
          </w:tcPr>
          <w:p w:rsidR="00855B30" w:rsidRPr="00136830" w:rsidRDefault="00855B30" w:rsidP="001D4D92">
            <w:pPr>
              <w:jc w:val="center"/>
              <w:rPr>
                <w:lang w:val="en-US" w:bidi="en-US"/>
              </w:rPr>
            </w:pPr>
            <w:r w:rsidRPr="00136830">
              <w:rPr>
                <w:lang w:val="en-US" w:bidi="en-US"/>
              </w:rPr>
              <w:t>57</w:t>
            </w:r>
          </w:p>
        </w:tc>
        <w:tc>
          <w:tcPr>
            <w:tcW w:w="0" w:type="auto"/>
            <w:vAlign w:val="center"/>
          </w:tcPr>
          <w:p w:rsidR="00855B30" w:rsidRPr="00136830" w:rsidRDefault="00855B30" w:rsidP="001D4D92">
            <w:pPr>
              <w:jc w:val="center"/>
              <w:rPr>
                <w:lang w:val="en-US" w:bidi="en-US"/>
              </w:rPr>
            </w:pPr>
            <w:r w:rsidRPr="00136830">
              <w:rPr>
                <w:lang w:val="en-US" w:bidi="en-US"/>
              </w:rPr>
              <w:t>76</w:t>
            </w:r>
          </w:p>
        </w:tc>
        <w:tc>
          <w:tcPr>
            <w:tcW w:w="0" w:type="auto"/>
            <w:vAlign w:val="center"/>
          </w:tcPr>
          <w:p w:rsidR="00A2293F" w:rsidRDefault="00855B30" w:rsidP="001D4D92">
            <w:pPr>
              <w:jc w:val="center"/>
              <w:rPr>
                <w:lang w:val="en-US" w:bidi="en-US"/>
              </w:rPr>
            </w:pPr>
            <w:r w:rsidRPr="00136830">
              <w:rPr>
                <w:lang w:val="en-US" w:bidi="en-US"/>
              </w:rPr>
              <w:t>70</w:t>
            </w:r>
          </w:p>
        </w:tc>
        <w:tc>
          <w:tcPr>
            <w:tcW w:w="0" w:type="auto"/>
          </w:tcPr>
          <w:p w:rsidR="00A2293F" w:rsidRDefault="00855B30" w:rsidP="001D4D92">
            <w:pPr>
              <w:jc w:val="center"/>
              <w:rPr>
                <w:lang w:val="en-US" w:bidi="en-US"/>
              </w:rPr>
            </w:pPr>
            <w:r w:rsidRPr="00136830">
              <w:rPr>
                <w:lang w:val="en-US" w:bidi="en-US"/>
              </w:rPr>
              <w:t>66</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Spain</w:t>
            </w:r>
          </w:p>
        </w:tc>
        <w:tc>
          <w:tcPr>
            <w:tcW w:w="0" w:type="auto"/>
            <w:vAlign w:val="center"/>
          </w:tcPr>
          <w:p w:rsidR="00855B30" w:rsidRPr="00136830" w:rsidRDefault="00855B30" w:rsidP="001D4D92">
            <w:pPr>
              <w:jc w:val="center"/>
              <w:rPr>
                <w:lang w:val="en-US" w:bidi="en-US"/>
              </w:rPr>
            </w:pPr>
            <w:r w:rsidRPr="00136830">
              <w:rPr>
                <w:lang w:val="en-US" w:bidi="en-US"/>
              </w:rPr>
              <w:t>35</w:t>
            </w:r>
          </w:p>
        </w:tc>
        <w:tc>
          <w:tcPr>
            <w:tcW w:w="0" w:type="auto"/>
            <w:vAlign w:val="center"/>
          </w:tcPr>
          <w:p w:rsidR="00855B30" w:rsidRPr="00136830" w:rsidRDefault="00855B30" w:rsidP="001D4D92">
            <w:pPr>
              <w:jc w:val="center"/>
              <w:rPr>
                <w:lang w:val="en-US" w:bidi="en-US"/>
              </w:rPr>
            </w:pPr>
            <w:r w:rsidRPr="00136830">
              <w:rPr>
                <w:lang w:val="en-US" w:bidi="en-US"/>
              </w:rPr>
              <w:t>55</w:t>
            </w:r>
          </w:p>
        </w:tc>
        <w:tc>
          <w:tcPr>
            <w:tcW w:w="0" w:type="auto"/>
            <w:vAlign w:val="center"/>
          </w:tcPr>
          <w:p w:rsidR="00855B30" w:rsidRPr="00136830" w:rsidRDefault="00855B30" w:rsidP="001D4D92">
            <w:pPr>
              <w:jc w:val="center"/>
              <w:rPr>
                <w:lang w:val="en-US" w:bidi="en-US"/>
              </w:rPr>
            </w:pPr>
            <w:r w:rsidRPr="00136830">
              <w:rPr>
                <w:lang w:val="en-US" w:bidi="en-US"/>
              </w:rPr>
              <w:t>76</w:t>
            </w:r>
          </w:p>
        </w:tc>
        <w:tc>
          <w:tcPr>
            <w:tcW w:w="0" w:type="auto"/>
            <w:vAlign w:val="center"/>
          </w:tcPr>
          <w:p w:rsidR="00A2293F" w:rsidRDefault="00855B30" w:rsidP="001D4D92">
            <w:pPr>
              <w:jc w:val="center"/>
              <w:rPr>
                <w:lang w:val="en-US" w:bidi="en-US"/>
              </w:rPr>
            </w:pPr>
            <w:r w:rsidRPr="00136830">
              <w:rPr>
                <w:lang w:val="en-US" w:bidi="en-US"/>
              </w:rPr>
              <w:t>64</w:t>
            </w:r>
          </w:p>
        </w:tc>
        <w:tc>
          <w:tcPr>
            <w:tcW w:w="0" w:type="auto"/>
          </w:tcPr>
          <w:p w:rsidR="00A2293F" w:rsidRDefault="00855B30" w:rsidP="001D4D92">
            <w:pPr>
              <w:jc w:val="center"/>
              <w:rPr>
                <w:lang w:val="en-US" w:bidi="en-US"/>
              </w:rPr>
            </w:pPr>
            <w:r w:rsidRPr="00136830">
              <w:rPr>
                <w:lang w:val="en-US" w:bidi="en-US"/>
              </w:rPr>
              <w:t>61</w:t>
            </w:r>
          </w:p>
        </w:tc>
      </w:tr>
      <w:tr w:rsidR="00855B30" w:rsidRPr="00136830" w:rsidTr="001A7B0A">
        <w:tc>
          <w:tcPr>
            <w:tcW w:w="0" w:type="auto"/>
            <w:vAlign w:val="center"/>
          </w:tcPr>
          <w:p w:rsidR="00855B30" w:rsidRPr="00136830" w:rsidRDefault="00855B30" w:rsidP="001D4D92">
            <w:pPr>
              <w:jc w:val="center"/>
              <w:rPr>
                <w:lang w:val="en-US" w:bidi="en-US"/>
              </w:rPr>
            </w:pPr>
            <w:r w:rsidRPr="00136830">
              <w:rPr>
                <w:lang w:val="en-US" w:bidi="en-US"/>
              </w:rPr>
              <w:t>Switzerland</w:t>
            </w:r>
          </w:p>
        </w:tc>
        <w:tc>
          <w:tcPr>
            <w:tcW w:w="0" w:type="auto"/>
            <w:vAlign w:val="center"/>
          </w:tcPr>
          <w:p w:rsidR="00855B30" w:rsidRPr="00136830" w:rsidRDefault="00855B30" w:rsidP="001D4D92">
            <w:pPr>
              <w:jc w:val="center"/>
              <w:rPr>
                <w:lang w:val="en-US" w:bidi="en-US"/>
              </w:rPr>
            </w:pPr>
            <w:r w:rsidRPr="00136830">
              <w:rPr>
                <w:lang w:val="en-US" w:bidi="en-US"/>
              </w:rPr>
              <w:t>60</w:t>
            </w:r>
          </w:p>
        </w:tc>
        <w:tc>
          <w:tcPr>
            <w:tcW w:w="0" w:type="auto"/>
            <w:vAlign w:val="center"/>
          </w:tcPr>
          <w:p w:rsidR="00855B30" w:rsidRPr="00136830" w:rsidRDefault="00855B30" w:rsidP="001D4D92">
            <w:pPr>
              <w:jc w:val="center"/>
              <w:rPr>
                <w:lang w:val="en-US" w:bidi="en-US"/>
              </w:rPr>
            </w:pPr>
            <w:r w:rsidRPr="00136830">
              <w:rPr>
                <w:lang w:val="en-US" w:bidi="en-US"/>
              </w:rPr>
              <w:t>78</w:t>
            </w:r>
          </w:p>
        </w:tc>
        <w:tc>
          <w:tcPr>
            <w:tcW w:w="0" w:type="auto"/>
            <w:vAlign w:val="center"/>
          </w:tcPr>
          <w:p w:rsidR="00855B30" w:rsidRPr="00136830" w:rsidRDefault="00855B30" w:rsidP="001D4D92">
            <w:pPr>
              <w:jc w:val="center"/>
              <w:rPr>
                <w:lang w:val="en-US" w:bidi="en-US"/>
              </w:rPr>
            </w:pPr>
            <w:r w:rsidRPr="00136830">
              <w:rPr>
                <w:lang w:val="en-US" w:bidi="en-US"/>
              </w:rPr>
              <w:t>85</w:t>
            </w:r>
          </w:p>
        </w:tc>
        <w:tc>
          <w:tcPr>
            <w:tcW w:w="0" w:type="auto"/>
            <w:vAlign w:val="center"/>
          </w:tcPr>
          <w:p w:rsidR="00A2293F" w:rsidRDefault="00855B30" w:rsidP="001D4D92">
            <w:pPr>
              <w:jc w:val="center"/>
              <w:rPr>
                <w:lang w:val="en-US" w:bidi="en-US"/>
              </w:rPr>
            </w:pPr>
            <w:r w:rsidRPr="00136830">
              <w:rPr>
                <w:lang w:val="en-US" w:bidi="en-US"/>
              </w:rPr>
              <w:t>70</w:t>
            </w:r>
          </w:p>
        </w:tc>
        <w:tc>
          <w:tcPr>
            <w:tcW w:w="0" w:type="auto"/>
          </w:tcPr>
          <w:p w:rsidR="00A2293F" w:rsidRDefault="00855B30" w:rsidP="001D4D92">
            <w:pPr>
              <w:jc w:val="center"/>
              <w:rPr>
                <w:lang w:val="en-US" w:bidi="en-US"/>
              </w:rPr>
            </w:pPr>
            <w:r w:rsidRPr="00136830">
              <w:rPr>
                <w:lang w:val="en-US" w:bidi="en-US"/>
              </w:rPr>
              <w:t>70</w:t>
            </w:r>
          </w:p>
        </w:tc>
      </w:tr>
    </w:tbl>
    <w:p w:rsidR="00A2293F" w:rsidRDefault="00A2293F" w:rsidP="00A749DD">
      <w:pPr>
        <w:spacing w:line="480" w:lineRule="auto"/>
        <w:rPr>
          <w:lang w:val="en-US" w:bidi="en-US"/>
        </w:rPr>
      </w:pPr>
    </w:p>
    <w:p w:rsidR="00A2293F" w:rsidRDefault="00855B30" w:rsidP="00A749DD">
      <w:pPr>
        <w:spacing w:line="480" w:lineRule="auto"/>
        <w:jc w:val="both"/>
        <w:rPr>
          <w:lang w:val="en-US"/>
        </w:rPr>
      </w:pPr>
      <w:r w:rsidRPr="00136830">
        <w:rPr>
          <w:lang w:val="en-US"/>
        </w:rPr>
        <w:t>In Table 6 we estimate the effects of practice environments and staffing on nurse outcomes and quality. Two models are shown for each combination of outcome and “effect” (practice environment or staffing): 1) robust logistic regression models which estimate the effects of nurse staffing and the work environment separately without controls with the within-country slopes fixed to be equivalent across Europe; and 2) multivariate models (also with robust standard errors) which estimate the joint effects of nurse staffing and the practice environment after controlling for across-hospital differences in characteristics of nurses, differences in structural characteristics of hospitals, and unmeasured differences in outcomes across countries. A better work environment has pronounced negative effects on every negatively-scaled outcome, with and without nurse, hospital, and country controls. After adjusting for hospital and nurse characteristics, nurses in hospitals with better work environments were half as likely to report poor or fair care quality and to give their hospitals poor or failing grades on patient safety. Each additional patient per nurse increased the odds on nurses reporting poor or fair quality care and poor or failing safety grades. Nurse outcomes (high burnout, dissatisfaction, and intent to leave) are similarly associated with staffing and the work environment, and the work environment effect is generally stronger than the specific staffing effect. Similarities are evident among countries at all levels of health expenditure. Better work environments have the anticipated effect on every outcome, as do higher nurse workloads on most of them.</w:t>
      </w:r>
    </w:p>
    <w:p w:rsidR="00A2293F" w:rsidRDefault="00FC6AB2" w:rsidP="00A749DD">
      <w:pPr>
        <w:spacing w:line="480" w:lineRule="auto"/>
        <w:jc w:val="both"/>
        <w:rPr>
          <w:lang w:val="en-US"/>
        </w:rPr>
      </w:pPr>
      <w:r w:rsidRPr="00FC6AB2">
        <w:rPr>
          <w:lang w:val="en-US"/>
        </w:rPr>
        <w:lastRenderedPageBreak/>
        <w:t>Table 6. Odds ratios indicating the effects of nurse staffing and the nurse work environment on nurse outcomes and nurse reported quality of care</w:t>
      </w:r>
    </w:p>
    <w:tbl>
      <w:tblPr>
        <w:tblStyle w:val="Tabelraster"/>
        <w:tblW w:w="0" w:type="auto"/>
        <w:tblLook w:val="04A0"/>
      </w:tblPr>
      <w:tblGrid>
        <w:gridCol w:w="3962"/>
        <w:gridCol w:w="1770"/>
        <w:gridCol w:w="607"/>
        <w:gridCol w:w="1171"/>
        <w:gridCol w:w="607"/>
        <w:gridCol w:w="1171"/>
      </w:tblGrid>
      <w:tr w:rsidR="00855B30" w:rsidRPr="00B93129" w:rsidTr="001A7B0A">
        <w:tc>
          <w:tcPr>
            <w:tcW w:w="0" w:type="auto"/>
          </w:tcPr>
          <w:p w:rsidR="00855B30" w:rsidRPr="00136830" w:rsidRDefault="00855B30" w:rsidP="001D4D92">
            <w:pPr>
              <w:jc w:val="both"/>
              <w:rPr>
                <w:rFonts w:cs="Cambria"/>
                <w:lang w:val="en-US"/>
              </w:rPr>
            </w:pPr>
          </w:p>
        </w:tc>
        <w:tc>
          <w:tcPr>
            <w:tcW w:w="0" w:type="auto"/>
            <w:gridSpan w:val="5"/>
            <w:vAlign w:val="center"/>
          </w:tcPr>
          <w:p w:rsidR="00855B30" w:rsidRPr="00136830" w:rsidRDefault="00855B30" w:rsidP="001D4D92">
            <w:pPr>
              <w:jc w:val="center"/>
              <w:rPr>
                <w:rFonts w:cs="Cambria"/>
                <w:b/>
                <w:lang w:val="en-US"/>
              </w:rPr>
            </w:pPr>
            <w:r w:rsidRPr="00136830">
              <w:rPr>
                <w:rFonts w:cs="Cambria"/>
                <w:b/>
                <w:lang w:val="en-US"/>
              </w:rPr>
              <w:t>Odds ratios from models in which effects are</w:t>
            </w:r>
          </w:p>
        </w:tc>
      </w:tr>
      <w:tr w:rsidR="00855B30" w:rsidRPr="00136830" w:rsidTr="001A7B0A">
        <w:tc>
          <w:tcPr>
            <w:tcW w:w="0" w:type="auto"/>
          </w:tcPr>
          <w:p w:rsidR="00855B30" w:rsidRPr="00136830" w:rsidRDefault="00855B30" w:rsidP="001D4D92">
            <w:pPr>
              <w:jc w:val="both"/>
              <w:rPr>
                <w:rFonts w:cs="Cambria"/>
                <w:lang w:val="en-US"/>
              </w:rPr>
            </w:pPr>
          </w:p>
        </w:tc>
        <w:tc>
          <w:tcPr>
            <w:tcW w:w="0" w:type="auto"/>
          </w:tcPr>
          <w:p w:rsidR="00855B30" w:rsidRPr="00136830" w:rsidRDefault="00855B30" w:rsidP="001D4D92">
            <w:pPr>
              <w:jc w:val="both"/>
              <w:rPr>
                <w:rFonts w:cs="Cambria"/>
                <w:lang w:val="en-US"/>
              </w:rPr>
            </w:pPr>
          </w:p>
        </w:tc>
        <w:tc>
          <w:tcPr>
            <w:tcW w:w="0" w:type="auto"/>
            <w:gridSpan w:val="2"/>
            <w:vAlign w:val="center"/>
          </w:tcPr>
          <w:p w:rsidR="00855B30" w:rsidRPr="00136830" w:rsidRDefault="00855B30" w:rsidP="001D4D92">
            <w:pPr>
              <w:jc w:val="center"/>
              <w:rPr>
                <w:rFonts w:cs="Cambria"/>
                <w:b/>
                <w:lang w:val="en-US"/>
              </w:rPr>
            </w:pPr>
            <w:r w:rsidRPr="00136830">
              <w:rPr>
                <w:rFonts w:cs="Cambria"/>
                <w:b/>
                <w:lang w:val="en-US"/>
              </w:rPr>
              <w:t>Unadjusted</w:t>
            </w:r>
          </w:p>
        </w:tc>
        <w:tc>
          <w:tcPr>
            <w:tcW w:w="0" w:type="auto"/>
            <w:gridSpan w:val="2"/>
            <w:vAlign w:val="center"/>
          </w:tcPr>
          <w:p w:rsidR="00855B30" w:rsidRPr="00136830" w:rsidRDefault="00855B30" w:rsidP="001D4D92">
            <w:pPr>
              <w:jc w:val="center"/>
              <w:rPr>
                <w:rFonts w:cs="Cambria"/>
                <w:b/>
                <w:lang w:val="en-US"/>
              </w:rPr>
            </w:pPr>
            <w:r w:rsidRPr="00136830">
              <w:rPr>
                <w:rFonts w:cs="Cambria"/>
                <w:b/>
                <w:lang w:val="en-US"/>
              </w:rPr>
              <w:t>Adjusted</w:t>
            </w:r>
          </w:p>
        </w:tc>
      </w:tr>
      <w:tr w:rsidR="00855B30" w:rsidRPr="00136830" w:rsidTr="001A7B0A">
        <w:tc>
          <w:tcPr>
            <w:tcW w:w="0" w:type="auto"/>
          </w:tcPr>
          <w:p w:rsidR="00855B30" w:rsidRPr="00136830" w:rsidRDefault="00855B30" w:rsidP="001D4D92">
            <w:pPr>
              <w:jc w:val="both"/>
              <w:rPr>
                <w:rFonts w:cs="Cambria"/>
                <w:b/>
                <w:lang w:val="en-US"/>
              </w:rPr>
            </w:pPr>
            <w:r w:rsidRPr="00136830">
              <w:rPr>
                <w:rFonts w:cs="Cambria"/>
                <w:b/>
                <w:lang w:val="en-US"/>
              </w:rPr>
              <w:t>Outcome</w:t>
            </w:r>
          </w:p>
        </w:tc>
        <w:tc>
          <w:tcPr>
            <w:tcW w:w="0" w:type="auto"/>
          </w:tcPr>
          <w:p w:rsidR="00855B30" w:rsidRPr="00136830" w:rsidRDefault="00855B30" w:rsidP="001D4D92">
            <w:pPr>
              <w:jc w:val="both"/>
              <w:rPr>
                <w:rFonts w:cs="Cambria"/>
                <w:b/>
                <w:lang w:val="en-US"/>
              </w:rPr>
            </w:pPr>
            <w:r w:rsidRPr="00136830">
              <w:rPr>
                <w:rFonts w:cs="Cambria"/>
                <w:b/>
                <w:lang w:val="en-US"/>
              </w:rPr>
              <w:t>Effect</w:t>
            </w:r>
          </w:p>
        </w:tc>
        <w:tc>
          <w:tcPr>
            <w:tcW w:w="0" w:type="auto"/>
          </w:tcPr>
          <w:p w:rsidR="00855B30" w:rsidRPr="00136830" w:rsidRDefault="00855B30" w:rsidP="001D4D92">
            <w:pPr>
              <w:jc w:val="both"/>
              <w:rPr>
                <w:rFonts w:cs="Cambria"/>
                <w:b/>
                <w:lang w:val="en-US"/>
              </w:rPr>
            </w:pPr>
            <w:r w:rsidRPr="00136830">
              <w:rPr>
                <w:rFonts w:cs="Cambria"/>
                <w:b/>
                <w:lang w:val="en-US"/>
              </w:rPr>
              <w:t>OR</w:t>
            </w:r>
          </w:p>
        </w:tc>
        <w:tc>
          <w:tcPr>
            <w:tcW w:w="0" w:type="auto"/>
          </w:tcPr>
          <w:p w:rsidR="00855B30" w:rsidRPr="00136830" w:rsidRDefault="00855B30" w:rsidP="001D4D92">
            <w:pPr>
              <w:jc w:val="both"/>
              <w:rPr>
                <w:rFonts w:cs="Cambria"/>
                <w:b/>
                <w:lang w:val="en-US"/>
              </w:rPr>
            </w:pPr>
            <w:r w:rsidRPr="00136830">
              <w:rPr>
                <w:rFonts w:cs="Cambria"/>
                <w:b/>
                <w:lang w:val="en-US"/>
              </w:rPr>
              <w:t>95% CI</w:t>
            </w:r>
          </w:p>
        </w:tc>
        <w:tc>
          <w:tcPr>
            <w:tcW w:w="0" w:type="auto"/>
          </w:tcPr>
          <w:p w:rsidR="00A2293F" w:rsidRDefault="00855B30" w:rsidP="001D4D92">
            <w:pPr>
              <w:jc w:val="both"/>
              <w:rPr>
                <w:rFonts w:cs="Cambria"/>
                <w:b/>
                <w:lang w:val="en-US"/>
              </w:rPr>
            </w:pPr>
            <w:r w:rsidRPr="00136830">
              <w:rPr>
                <w:rFonts w:cs="Cambria"/>
                <w:b/>
                <w:lang w:val="en-US"/>
              </w:rPr>
              <w:t>OR</w:t>
            </w:r>
          </w:p>
        </w:tc>
        <w:tc>
          <w:tcPr>
            <w:tcW w:w="0" w:type="auto"/>
          </w:tcPr>
          <w:p w:rsidR="00A2293F" w:rsidRDefault="00855B30" w:rsidP="001D4D92">
            <w:pPr>
              <w:jc w:val="both"/>
              <w:rPr>
                <w:rFonts w:cs="Cambria"/>
                <w:b/>
                <w:lang w:val="en-US"/>
              </w:rPr>
            </w:pPr>
            <w:r w:rsidRPr="00136830">
              <w:rPr>
                <w:rFonts w:cs="Cambria"/>
                <w:b/>
                <w:lang w:val="en-US"/>
              </w:rPr>
              <w:t>95% CI</w:t>
            </w:r>
          </w:p>
        </w:tc>
      </w:tr>
      <w:tr w:rsidR="00855B30" w:rsidRPr="00136830" w:rsidTr="001A7B0A">
        <w:tc>
          <w:tcPr>
            <w:tcW w:w="0" w:type="auto"/>
            <w:vAlign w:val="center"/>
          </w:tcPr>
          <w:p w:rsidR="00855B30" w:rsidRPr="00136830" w:rsidRDefault="00855B30" w:rsidP="001D4D92">
            <w:pPr>
              <w:rPr>
                <w:rFonts w:cs="Cambria"/>
                <w:b/>
                <w:lang w:val="en-US"/>
              </w:rPr>
            </w:pPr>
            <w:r w:rsidRPr="00136830">
              <w:rPr>
                <w:rFonts w:cs="Cambria"/>
                <w:b/>
                <w:lang w:val="en-US"/>
              </w:rPr>
              <w:t>Poor/fair unit quality</w:t>
            </w:r>
          </w:p>
        </w:tc>
        <w:tc>
          <w:tcPr>
            <w:tcW w:w="0" w:type="auto"/>
            <w:vAlign w:val="center"/>
          </w:tcPr>
          <w:p w:rsidR="00855B30" w:rsidRPr="00136830" w:rsidRDefault="00855B30" w:rsidP="001D4D92">
            <w:pPr>
              <w:rPr>
                <w:rFonts w:cs="Cambria"/>
                <w:b/>
                <w:lang w:val="en-US"/>
              </w:rPr>
            </w:pPr>
            <w:r w:rsidRPr="00136830">
              <w:rPr>
                <w:rFonts w:cs="Cambria"/>
                <w:b/>
                <w:lang w:val="en-US"/>
              </w:rPr>
              <w:t>Work environment</w:t>
            </w:r>
          </w:p>
        </w:tc>
        <w:tc>
          <w:tcPr>
            <w:tcW w:w="0" w:type="auto"/>
          </w:tcPr>
          <w:p w:rsidR="00855B30" w:rsidRPr="00136830" w:rsidRDefault="00855B30" w:rsidP="001D4D92">
            <w:pPr>
              <w:jc w:val="both"/>
              <w:rPr>
                <w:rFonts w:cs="Cambria"/>
                <w:lang w:val="en-US"/>
              </w:rPr>
            </w:pPr>
            <w:r w:rsidRPr="00136830">
              <w:rPr>
                <w:rFonts w:cs="Cambria"/>
                <w:lang w:val="en-US"/>
              </w:rPr>
              <w:t>0.58</w:t>
            </w:r>
          </w:p>
        </w:tc>
        <w:tc>
          <w:tcPr>
            <w:tcW w:w="0" w:type="auto"/>
          </w:tcPr>
          <w:p w:rsidR="00855B30" w:rsidRPr="00136830" w:rsidRDefault="00855B30" w:rsidP="001D4D92">
            <w:pPr>
              <w:jc w:val="both"/>
              <w:rPr>
                <w:rFonts w:cs="Cambria"/>
                <w:lang w:val="en-US"/>
              </w:rPr>
            </w:pPr>
            <w:r w:rsidRPr="00136830">
              <w:rPr>
                <w:rFonts w:cs="Cambria"/>
                <w:lang w:val="en-US"/>
              </w:rPr>
              <w:t>(0.53 to 0.63)</w:t>
            </w:r>
          </w:p>
        </w:tc>
        <w:tc>
          <w:tcPr>
            <w:tcW w:w="0" w:type="auto"/>
          </w:tcPr>
          <w:p w:rsidR="00A2293F" w:rsidRDefault="00855B30" w:rsidP="001D4D92">
            <w:pPr>
              <w:jc w:val="both"/>
              <w:rPr>
                <w:rFonts w:cs="Cambria"/>
                <w:lang w:val="en-US"/>
              </w:rPr>
            </w:pPr>
            <w:r w:rsidRPr="00136830">
              <w:rPr>
                <w:rFonts w:cs="Cambria"/>
                <w:lang w:val="en-US"/>
              </w:rPr>
              <w:t>0.56</w:t>
            </w:r>
          </w:p>
        </w:tc>
        <w:tc>
          <w:tcPr>
            <w:tcW w:w="0" w:type="auto"/>
          </w:tcPr>
          <w:p w:rsidR="00A2293F" w:rsidRDefault="00855B30" w:rsidP="001D4D92">
            <w:r w:rsidRPr="00136830">
              <w:rPr>
                <w:rFonts w:cs="Cambria"/>
                <w:lang w:val="en-US"/>
              </w:rPr>
              <w:t>(0.51 to 0.61)</w:t>
            </w:r>
          </w:p>
        </w:tc>
      </w:tr>
      <w:tr w:rsidR="00855B30" w:rsidRPr="00136830" w:rsidTr="001A7B0A">
        <w:tc>
          <w:tcPr>
            <w:tcW w:w="0" w:type="auto"/>
            <w:vAlign w:val="center"/>
          </w:tcPr>
          <w:p w:rsidR="00855B30" w:rsidRPr="00136830" w:rsidRDefault="00855B30" w:rsidP="001D4D92">
            <w:pPr>
              <w:rPr>
                <w:rFonts w:cs="Cambria"/>
                <w:b/>
                <w:lang w:val="en-US"/>
              </w:rPr>
            </w:pPr>
          </w:p>
        </w:tc>
        <w:tc>
          <w:tcPr>
            <w:tcW w:w="0" w:type="auto"/>
            <w:vAlign w:val="center"/>
          </w:tcPr>
          <w:p w:rsidR="00855B30" w:rsidRPr="00136830" w:rsidRDefault="00855B30" w:rsidP="001D4D92">
            <w:pPr>
              <w:rPr>
                <w:rFonts w:cs="Cambria"/>
                <w:b/>
                <w:lang w:val="en-US"/>
              </w:rPr>
            </w:pPr>
            <w:r w:rsidRPr="00136830">
              <w:rPr>
                <w:rFonts w:cs="Cambria"/>
                <w:b/>
                <w:lang w:val="en-US"/>
              </w:rPr>
              <w:t>Staffing</w:t>
            </w:r>
          </w:p>
        </w:tc>
        <w:tc>
          <w:tcPr>
            <w:tcW w:w="0" w:type="auto"/>
          </w:tcPr>
          <w:p w:rsidR="00855B30" w:rsidRPr="00136830" w:rsidRDefault="00855B30" w:rsidP="001D4D92">
            <w:pPr>
              <w:jc w:val="both"/>
              <w:rPr>
                <w:rFonts w:cs="Cambria"/>
                <w:lang w:val="en-US"/>
              </w:rPr>
            </w:pPr>
            <w:r w:rsidRPr="00136830">
              <w:rPr>
                <w:rFonts w:cs="Cambria"/>
                <w:lang w:val="en-US"/>
              </w:rPr>
              <w:t>1.11</w:t>
            </w:r>
          </w:p>
        </w:tc>
        <w:tc>
          <w:tcPr>
            <w:tcW w:w="0" w:type="auto"/>
          </w:tcPr>
          <w:p w:rsidR="00855B30" w:rsidRPr="00136830" w:rsidRDefault="00855B30" w:rsidP="001D4D92">
            <w:r w:rsidRPr="00136830">
              <w:rPr>
                <w:rFonts w:cs="Cambria"/>
                <w:lang w:val="en-US"/>
              </w:rPr>
              <w:t>(1.08 to 1.13)</w:t>
            </w:r>
          </w:p>
        </w:tc>
        <w:tc>
          <w:tcPr>
            <w:tcW w:w="0" w:type="auto"/>
          </w:tcPr>
          <w:p w:rsidR="00A2293F" w:rsidRDefault="00855B30" w:rsidP="001D4D92">
            <w:pPr>
              <w:jc w:val="both"/>
              <w:rPr>
                <w:rFonts w:cs="Cambria"/>
                <w:lang w:val="en-US"/>
              </w:rPr>
            </w:pPr>
            <w:r w:rsidRPr="00136830">
              <w:rPr>
                <w:rFonts w:cs="Cambria"/>
                <w:lang w:val="en-US"/>
              </w:rPr>
              <w:t>1.11</w:t>
            </w:r>
          </w:p>
        </w:tc>
        <w:tc>
          <w:tcPr>
            <w:tcW w:w="0" w:type="auto"/>
          </w:tcPr>
          <w:p w:rsidR="00A2293F" w:rsidRDefault="00855B30" w:rsidP="001D4D92">
            <w:r w:rsidRPr="00136830">
              <w:rPr>
                <w:rFonts w:cs="Cambria"/>
                <w:lang w:val="en-US"/>
              </w:rPr>
              <w:t>(1.07 to 1.15)</w:t>
            </w:r>
          </w:p>
        </w:tc>
      </w:tr>
      <w:tr w:rsidR="00855B30" w:rsidRPr="00136830" w:rsidTr="001A7B0A">
        <w:tc>
          <w:tcPr>
            <w:tcW w:w="0" w:type="auto"/>
            <w:vAlign w:val="center"/>
          </w:tcPr>
          <w:p w:rsidR="00855B30" w:rsidRPr="00136830" w:rsidRDefault="00855B30" w:rsidP="001D4D92">
            <w:pPr>
              <w:rPr>
                <w:rFonts w:cs="Cambria"/>
                <w:b/>
                <w:lang w:val="en-US"/>
              </w:rPr>
            </w:pPr>
            <w:r w:rsidRPr="00136830">
              <w:rPr>
                <w:rFonts w:cs="Cambria"/>
                <w:b/>
                <w:lang w:val="en-US"/>
              </w:rPr>
              <w:t>Poor/failing safety grade</w:t>
            </w:r>
          </w:p>
        </w:tc>
        <w:tc>
          <w:tcPr>
            <w:tcW w:w="0" w:type="auto"/>
            <w:vAlign w:val="center"/>
          </w:tcPr>
          <w:p w:rsidR="00855B30" w:rsidRPr="00136830" w:rsidRDefault="00855B30" w:rsidP="001D4D92">
            <w:pPr>
              <w:rPr>
                <w:rFonts w:cs="Cambria"/>
                <w:b/>
                <w:lang w:val="en-US"/>
              </w:rPr>
            </w:pPr>
            <w:r w:rsidRPr="00136830">
              <w:rPr>
                <w:rFonts w:cs="Cambria"/>
                <w:b/>
                <w:lang w:val="en-US"/>
              </w:rPr>
              <w:t>Work environment</w:t>
            </w:r>
          </w:p>
        </w:tc>
        <w:tc>
          <w:tcPr>
            <w:tcW w:w="0" w:type="auto"/>
          </w:tcPr>
          <w:p w:rsidR="00855B30" w:rsidRPr="00136830" w:rsidRDefault="00855B30" w:rsidP="001D4D92">
            <w:pPr>
              <w:jc w:val="both"/>
              <w:rPr>
                <w:rFonts w:cs="Cambria"/>
                <w:lang w:val="en-US"/>
              </w:rPr>
            </w:pPr>
            <w:r w:rsidRPr="00136830">
              <w:rPr>
                <w:rFonts w:cs="Cambria"/>
                <w:lang w:val="en-US"/>
              </w:rPr>
              <w:t>0.50</w:t>
            </w:r>
          </w:p>
        </w:tc>
        <w:tc>
          <w:tcPr>
            <w:tcW w:w="0" w:type="auto"/>
          </w:tcPr>
          <w:p w:rsidR="00855B30" w:rsidRPr="00136830" w:rsidRDefault="00855B30" w:rsidP="001D4D92">
            <w:r w:rsidRPr="00136830">
              <w:rPr>
                <w:rFonts w:cs="Cambria"/>
                <w:lang w:val="en-US"/>
              </w:rPr>
              <w:t>(0.43 to 0.57)</w:t>
            </w:r>
          </w:p>
        </w:tc>
        <w:tc>
          <w:tcPr>
            <w:tcW w:w="0" w:type="auto"/>
          </w:tcPr>
          <w:p w:rsidR="00A2293F" w:rsidRDefault="00855B30" w:rsidP="001D4D92">
            <w:pPr>
              <w:jc w:val="both"/>
              <w:rPr>
                <w:rFonts w:cs="Cambria"/>
                <w:lang w:val="en-US"/>
              </w:rPr>
            </w:pPr>
            <w:r w:rsidRPr="00136830">
              <w:rPr>
                <w:rFonts w:cs="Cambria"/>
                <w:lang w:val="en-US"/>
              </w:rPr>
              <w:t>0.50</w:t>
            </w:r>
          </w:p>
        </w:tc>
        <w:tc>
          <w:tcPr>
            <w:tcW w:w="0" w:type="auto"/>
          </w:tcPr>
          <w:p w:rsidR="00A2293F" w:rsidRDefault="00855B30" w:rsidP="001D4D92">
            <w:r w:rsidRPr="00136830">
              <w:rPr>
                <w:rFonts w:cs="Cambria"/>
                <w:lang w:val="en-US"/>
              </w:rPr>
              <w:t>(0.44 to 0.56)</w:t>
            </w:r>
          </w:p>
        </w:tc>
      </w:tr>
      <w:tr w:rsidR="00855B30" w:rsidRPr="00136830" w:rsidTr="001A7B0A">
        <w:tc>
          <w:tcPr>
            <w:tcW w:w="0" w:type="auto"/>
            <w:vAlign w:val="center"/>
          </w:tcPr>
          <w:p w:rsidR="00855B30" w:rsidRPr="00136830" w:rsidRDefault="00855B30" w:rsidP="001D4D92">
            <w:pPr>
              <w:rPr>
                <w:rFonts w:cs="Cambria"/>
                <w:b/>
                <w:lang w:val="en-US"/>
              </w:rPr>
            </w:pPr>
          </w:p>
        </w:tc>
        <w:tc>
          <w:tcPr>
            <w:tcW w:w="0" w:type="auto"/>
            <w:vAlign w:val="center"/>
          </w:tcPr>
          <w:p w:rsidR="00855B30" w:rsidRPr="00136830" w:rsidRDefault="00855B30" w:rsidP="001D4D92">
            <w:pPr>
              <w:rPr>
                <w:rFonts w:cs="Cambria"/>
                <w:b/>
                <w:lang w:val="en-US"/>
              </w:rPr>
            </w:pPr>
            <w:r w:rsidRPr="00136830">
              <w:rPr>
                <w:rFonts w:cs="Cambria"/>
                <w:b/>
                <w:lang w:val="en-US"/>
              </w:rPr>
              <w:t>Staffing</w:t>
            </w:r>
          </w:p>
        </w:tc>
        <w:tc>
          <w:tcPr>
            <w:tcW w:w="0" w:type="auto"/>
          </w:tcPr>
          <w:p w:rsidR="00855B30" w:rsidRPr="00136830" w:rsidRDefault="00855B30" w:rsidP="001D4D92">
            <w:pPr>
              <w:jc w:val="both"/>
              <w:rPr>
                <w:rFonts w:cs="Cambria"/>
                <w:lang w:val="en-US"/>
              </w:rPr>
            </w:pPr>
            <w:r w:rsidRPr="00136830">
              <w:rPr>
                <w:rFonts w:cs="Cambria"/>
                <w:lang w:val="en-US"/>
              </w:rPr>
              <w:t>1.04</w:t>
            </w:r>
          </w:p>
        </w:tc>
        <w:tc>
          <w:tcPr>
            <w:tcW w:w="0" w:type="auto"/>
          </w:tcPr>
          <w:p w:rsidR="00855B30" w:rsidRPr="00136830" w:rsidRDefault="00855B30" w:rsidP="001D4D92">
            <w:r w:rsidRPr="00136830">
              <w:rPr>
                <w:rFonts w:cs="Cambria"/>
                <w:lang w:val="en-US"/>
              </w:rPr>
              <w:t>(1.01 to 1.08)</w:t>
            </w:r>
          </w:p>
        </w:tc>
        <w:tc>
          <w:tcPr>
            <w:tcW w:w="0" w:type="auto"/>
          </w:tcPr>
          <w:p w:rsidR="00A2293F" w:rsidRDefault="00855B30" w:rsidP="001D4D92">
            <w:pPr>
              <w:jc w:val="both"/>
              <w:rPr>
                <w:rFonts w:cs="Cambria"/>
                <w:lang w:val="en-US"/>
              </w:rPr>
            </w:pPr>
            <w:r w:rsidRPr="00136830">
              <w:rPr>
                <w:rFonts w:cs="Cambria"/>
                <w:lang w:val="en-US"/>
              </w:rPr>
              <w:t>1.10</w:t>
            </w:r>
          </w:p>
        </w:tc>
        <w:tc>
          <w:tcPr>
            <w:tcW w:w="0" w:type="auto"/>
          </w:tcPr>
          <w:p w:rsidR="00A2293F" w:rsidRDefault="00855B30" w:rsidP="001D4D92">
            <w:r w:rsidRPr="00136830">
              <w:rPr>
                <w:rFonts w:cs="Cambria"/>
                <w:lang w:val="en-US"/>
              </w:rPr>
              <w:t>(1.05 to 1.16)</w:t>
            </w:r>
          </w:p>
        </w:tc>
      </w:tr>
      <w:tr w:rsidR="00855B30" w:rsidRPr="00136830" w:rsidTr="001A7B0A">
        <w:tc>
          <w:tcPr>
            <w:tcW w:w="0" w:type="auto"/>
            <w:vAlign w:val="center"/>
          </w:tcPr>
          <w:p w:rsidR="00855B30" w:rsidRPr="00136830" w:rsidRDefault="00855B30" w:rsidP="001D4D92">
            <w:pPr>
              <w:rPr>
                <w:rFonts w:cs="Cambria"/>
                <w:b/>
                <w:lang w:val="en-US"/>
              </w:rPr>
            </w:pPr>
            <w:r w:rsidRPr="00136830">
              <w:rPr>
                <w:rFonts w:cs="Cambria"/>
                <w:b/>
                <w:lang w:val="en-US"/>
              </w:rPr>
              <w:t>High burnout</w:t>
            </w:r>
          </w:p>
        </w:tc>
        <w:tc>
          <w:tcPr>
            <w:tcW w:w="0" w:type="auto"/>
            <w:vAlign w:val="center"/>
          </w:tcPr>
          <w:p w:rsidR="00855B30" w:rsidRPr="00136830" w:rsidRDefault="00855B30" w:rsidP="001D4D92">
            <w:pPr>
              <w:rPr>
                <w:rFonts w:cs="Cambria"/>
                <w:b/>
                <w:lang w:val="en-US"/>
              </w:rPr>
            </w:pPr>
            <w:r w:rsidRPr="00136830">
              <w:rPr>
                <w:rFonts w:cs="Cambria"/>
                <w:b/>
                <w:lang w:val="en-US"/>
              </w:rPr>
              <w:t>Work environment</w:t>
            </w:r>
          </w:p>
        </w:tc>
        <w:tc>
          <w:tcPr>
            <w:tcW w:w="0" w:type="auto"/>
          </w:tcPr>
          <w:p w:rsidR="00855B30" w:rsidRPr="00136830" w:rsidRDefault="00855B30" w:rsidP="001D4D92">
            <w:pPr>
              <w:jc w:val="both"/>
              <w:rPr>
                <w:rFonts w:cs="Cambria"/>
                <w:lang w:val="en-US"/>
              </w:rPr>
            </w:pPr>
            <w:r w:rsidRPr="00136830">
              <w:rPr>
                <w:rFonts w:cs="Cambria"/>
                <w:lang w:val="en-US"/>
              </w:rPr>
              <w:t>0.69</w:t>
            </w:r>
          </w:p>
        </w:tc>
        <w:tc>
          <w:tcPr>
            <w:tcW w:w="0" w:type="auto"/>
          </w:tcPr>
          <w:p w:rsidR="00855B30" w:rsidRPr="00136830" w:rsidRDefault="00855B30" w:rsidP="001D4D92">
            <w:r w:rsidRPr="00136830">
              <w:rPr>
                <w:rFonts w:cs="Cambria"/>
                <w:lang w:val="en-US"/>
              </w:rPr>
              <w:t>(0.63 to 0.76)</w:t>
            </w:r>
          </w:p>
        </w:tc>
        <w:tc>
          <w:tcPr>
            <w:tcW w:w="0" w:type="auto"/>
          </w:tcPr>
          <w:p w:rsidR="00A2293F" w:rsidRDefault="00855B30" w:rsidP="001D4D92">
            <w:pPr>
              <w:jc w:val="both"/>
              <w:rPr>
                <w:rFonts w:cs="Cambria"/>
                <w:lang w:val="en-US"/>
              </w:rPr>
            </w:pPr>
            <w:r w:rsidRPr="00136830">
              <w:rPr>
                <w:rFonts w:cs="Cambria"/>
                <w:lang w:val="en-US"/>
              </w:rPr>
              <w:t>0.67</w:t>
            </w:r>
          </w:p>
        </w:tc>
        <w:tc>
          <w:tcPr>
            <w:tcW w:w="0" w:type="auto"/>
          </w:tcPr>
          <w:p w:rsidR="00A2293F" w:rsidRDefault="00855B30" w:rsidP="001D4D92">
            <w:r w:rsidRPr="00136830">
              <w:rPr>
                <w:rFonts w:cs="Cambria"/>
                <w:lang w:val="en-US"/>
              </w:rPr>
              <w:t>(0.61 to 0.73)</w:t>
            </w:r>
          </w:p>
        </w:tc>
      </w:tr>
      <w:tr w:rsidR="00855B30" w:rsidRPr="00136830" w:rsidTr="001A7B0A">
        <w:tc>
          <w:tcPr>
            <w:tcW w:w="0" w:type="auto"/>
            <w:vAlign w:val="center"/>
          </w:tcPr>
          <w:p w:rsidR="00855B30" w:rsidRPr="00136830" w:rsidRDefault="00855B30" w:rsidP="001D4D92">
            <w:pPr>
              <w:rPr>
                <w:rFonts w:cs="Cambria"/>
                <w:b/>
                <w:lang w:val="en-US"/>
              </w:rPr>
            </w:pPr>
          </w:p>
        </w:tc>
        <w:tc>
          <w:tcPr>
            <w:tcW w:w="0" w:type="auto"/>
            <w:vAlign w:val="center"/>
          </w:tcPr>
          <w:p w:rsidR="00855B30" w:rsidRPr="00136830" w:rsidRDefault="00855B30" w:rsidP="001D4D92">
            <w:pPr>
              <w:rPr>
                <w:rFonts w:cs="Cambria"/>
                <w:b/>
                <w:lang w:val="en-US"/>
              </w:rPr>
            </w:pPr>
            <w:r w:rsidRPr="00136830">
              <w:rPr>
                <w:rFonts w:cs="Cambria"/>
                <w:b/>
                <w:lang w:val="en-US"/>
              </w:rPr>
              <w:t>Staffing</w:t>
            </w:r>
          </w:p>
        </w:tc>
        <w:tc>
          <w:tcPr>
            <w:tcW w:w="0" w:type="auto"/>
          </w:tcPr>
          <w:p w:rsidR="00855B30" w:rsidRPr="00136830" w:rsidRDefault="00855B30" w:rsidP="001D4D92">
            <w:pPr>
              <w:jc w:val="both"/>
              <w:rPr>
                <w:rFonts w:cs="Cambria"/>
                <w:lang w:val="en-US"/>
              </w:rPr>
            </w:pPr>
            <w:r w:rsidRPr="00136830">
              <w:rPr>
                <w:rFonts w:cs="Cambria"/>
                <w:lang w:val="en-US"/>
              </w:rPr>
              <w:t>1.06</w:t>
            </w:r>
          </w:p>
        </w:tc>
        <w:tc>
          <w:tcPr>
            <w:tcW w:w="0" w:type="auto"/>
          </w:tcPr>
          <w:p w:rsidR="00855B30" w:rsidRPr="00136830" w:rsidRDefault="00855B30" w:rsidP="001D4D92">
            <w:r w:rsidRPr="00136830">
              <w:rPr>
                <w:rFonts w:cs="Cambria"/>
                <w:lang w:val="en-US"/>
              </w:rPr>
              <w:t>(1.04 to 1.08)</w:t>
            </w:r>
          </w:p>
        </w:tc>
        <w:tc>
          <w:tcPr>
            <w:tcW w:w="0" w:type="auto"/>
          </w:tcPr>
          <w:p w:rsidR="00A2293F" w:rsidRDefault="00855B30" w:rsidP="001D4D92">
            <w:pPr>
              <w:jc w:val="both"/>
              <w:rPr>
                <w:rFonts w:cs="Cambria"/>
                <w:lang w:val="en-US"/>
              </w:rPr>
            </w:pPr>
            <w:r w:rsidRPr="00136830">
              <w:rPr>
                <w:rFonts w:cs="Cambria"/>
                <w:lang w:val="en-US"/>
              </w:rPr>
              <w:t>1.05</w:t>
            </w:r>
          </w:p>
        </w:tc>
        <w:tc>
          <w:tcPr>
            <w:tcW w:w="0" w:type="auto"/>
          </w:tcPr>
          <w:p w:rsidR="00A2293F" w:rsidRDefault="00855B30" w:rsidP="001D4D92">
            <w:r w:rsidRPr="00136830">
              <w:rPr>
                <w:rFonts w:cs="Cambria"/>
                <w:lang w:val="en-US"/>
              </w:rPr>
              <w:t>(1.02 to 1.09)</w:t>
            </w:r>
          </w:p>
        </w:tc>
      </w:tr>
      <w:tr w:rsidR="00855B30" w:rsidRPr="00136830" w:rsidTr="001A7B0A">
        <w:tc>
          <w:tcPr>
            <w:tcW w:w="0" w:type="auto"/>
            <w:vAlign w:val="center"/>
          </w:tcPr>
          <w:p w:rsidR="00855B30" w:rsidRPr="00136830" w:rsidRDefault="00855B30" w:rsidP="001D4D92">
            <w:pPr>
              <w:rPr>
                <w:rFonts w:cs="Cambria"/>
                <w:b/>
                <w:lang w:val="en-US"/>
              </w:rPr>
            </w:pPr>
            <w:r w:rsidRPr="00136830">
              <w:rPr>
                <w:rFonts w:cs="Cambria"/>
                <w:b/>
                <w:lang w:val="en-US"/>
              </w:rPr>
              <w:t>Job dissatisfaction</w:t>
            </w:r>
          </w:p>
        </w:tc>
        <w:tc>
          <w:tcPr>
            <w:tcW w:w="0" w:type="auto"/>
            <w:vAlign w:val="center"/>
          </w:tcPr>
          <w:p w:rsidR="00855B30" w:rsidRPr="00136830" w:rsidRDefault="00855B30" w:rsidP="001D4D92">
            <w:pPr>
              <w:rPr>
                <w:rFonts w:cs="Cambria"/>
                <w:b/>
                <w:lang w:val="en-US"/>
              </w:rPr>
            </w:pPr>
            <w:r w:rsidRPr="00136830">
              <w:rPr>
                <w:rFonts w:cs="Cambria"/>
                <w:b/>
                <w:lang w:val="en-US"/>
              </w:rPr>
              <w:t>Work environment</w:t>
            </w:r>
          </w:p>
        </w:tc>
        <w:tc>
          <w:tcPr>
            <w:tcW w:w="0" w:type="auto"/>
          </w:tcPr>
          <w:p w:rsidR="00855B30" w:rsidRPr="00136830" w:rsidRDefault="00855B30" w:rsidP="001D4D92">
            <w:pPr>
              <w:jc w:val="both"/>
              <w:rPr>
                <w:rFonts w:cs="Cambria"/>
                <w:lang w:val="en-US"/>
              </w:rPr>
            </w:pPr>
            <w:r w:rsidRPr="00136830">
              <w:rPr>
                <w:rFonts w:cs="Cambria"/>
                <w:lang w:val="en-US"/>
              </w:rPr>
              <w:t>0.63</w:t>
            </w:r>
          </w:p>
        </w:tc>
        <w:tc>
          <w:tcPr>
            <w:tcW w:w="0" w:type="auto"/>
          </w:tcPr>
          <w:p w:rsidR="00855B30" w:rsidRPr="00136830" w:rsidRDefault="00855B30" w:rsidP="001D4D92">
            <w:r w:rsidRPr="00136830">
              <w:rPr>
                <w:rFonts w:cs="Cambria"/>
                <w:lang w:val="en-US"/>
              </w:rPr>
              <w:t>(0.57 to 0.69)</w:t>
            </w:r>
          </w:p>
        </w:tc>
        <w:tc>
          <w:tcPr>
            <w:tcW w:w="0" w:type="auto"/>
          </w:tcPr>
          <w:p w:rsidR="00A2293F" w:rsidRDefault="00855B30" w:rsidP="001D4D92">
            <w:pPr>
              <w:jc w:val="both"/>
              <w:rPr>
                <w:rFonts w:cs="Cambria"/>
                <w:lang w:val="en-US"/>
              </w:rPr>
            </w:pPr>
            <w:r w:rsidRPr="00136830">
              <w:rPr>
                <w:rFonts w:cs="Cambria"/>
                <w:lang w:val="en-US"/>
              </w:rPr>
              <w:t>0.52</w:t>
            </w:r>
          </w:p>
        </w:tc>
        <w:tc>
          <w:tcPr>
            <w:tcW w:w="0" w:type="auto"/>
          </w:tcPr>
          <w:p w:rsidR="00A2293F" w:rsidRDefault="00855B30" w:rsidP="001D4D92">
            <w:r w:rsidRPr="00136830">
              <w:rPr>
                <w:rFonts w:cs="Cambria"/>
                <w:lang w:val="en-US"/>
              </w:rPr>
              <w:t>(0.47 to 0.57)</w:t>
            </w:r>
          </w:p>
        </w:tc>
      </w:tr>
      <w:tr w:rsidR="00855B30" w:rsidRPr="00136830" w:rsidTr="001A7B0A">
        <w:tc>
          <w:tcPr>
            <w:tcW w:w="0" w:type="auto"/>
            <w:vAlign w:val="center"/>
          </w:tcPr>
          <w:p w:rsidR="00855B30" w:rsidRPr="00136830" w:rsidRDefault="00855B30" w:rsidP="001D4D92">
            <w:pPr>
              <w:rPr>
                <w:rFonts w:cs="Cambria"/>
                <w:b/>
                <w:lang w:val="en-US"/>
              </w:rPr>
            </w:pPr>
          </w:p>
        </w:tc>
        <w:tc>
          <w:tcPr>
            <w:tcW w:w="0" w:type="auto"/>
            <w:vAlign w:val="center"/>
          </w:tcPr>
          <w:p w:rsidR="00855B30" w:rsidRPr="00136830" w:rsidRDefault="00855B30" w:rsidP="001D4D92">
            <w:pPr>
              <w:rPr>
                <w:rFonts w:cs="Cambria"/>
                <w:b/>
                <w:lang w:val="en-US"/>
              </w:rPr>
            </w:pPr>
            <w:r w:rsidRPr="00136830">
              <w:rPr>
                <w:rFonts w:cs="Cambria"/>
                <w:b/>
                <w:lang w:val="en-US"/>
              </w:rPr>
              <w:t>Staffing</w:t>
            </w:r>
          </w:p>
        </w:tc>
        <w:tc>
          <w:tcPr>
            <w:tcW w:w="0" w:type="auto"/>
          </w:tcPr>
          <w:p w:rsidR="00855B30" w:rsidRPr="00136830" w:rsidRDefault="00855B30" w:rsidP="001D4D92">
            <w:pPr>
              <w:jc w:val="both"/>
              <w:rPr>
                <w:rFonts w:cs="Cambria"/>
                <w:lang w:val="en-US"/>
              </w:rPr>
            </w:pPr>
            <w:r w:rsidRPr="00136830">
              <w:rPr>
                <w:rFonts w:cs="Cambria"/>
                <w:lang w:val="en-US"/>
              </w:rPr>
              <w:t>1.10</w:t>
            </w:r>
          </w:p>
        </w:tc>
        <w:tc>
          <w:tcPr>
            <w:tcW w:w="0" w:type="auto"/>
          </w:tcPr>
          <w:p w:rsidR="00855B30" w:rsidRPr="00136830" w:rsidRDefault="00855B30" w:rsidP="001D4D92">
            <w:r w:rsidRPr="00136830">
              <w:rPr>
                <w:rFonts w:cs="Cambria"/>
                <w:lang w:val="en-US"/>
              </w:rPr>
              <w:t>(1.08 to 1.12)</w:t>
            </w:r>
          </w:p>
        </w:tc>
        <w:tc>
          <w:tcPr>
            <w:tcW w:w="0" w:type="auto"/>
          </w:tcPr>
          <w:p w:rsidR="00A2293F" w:rsidRDefault="00855B30" w:rsidP="001D4D92">
            <w:pPr>
              <w:jc w:val="both"/>
              <w:rPr>
                <w:rFonts w:cs="Cambria"/>
                <w:lang w:val="en-US"/>
              </w:rPr>
            </w:pPr>
            <w:r w:rsidRPr="00136830">
              <w:rPr>
                <w:rFonts w:cs="Cambria"/>
                <w:lang w:val="en-US"/>
              </w:rPr>
              <w:t>1.07</w:t>
            </w:r>
          </w:p>
        </w:tc>
        <w:tc>
          <w:tcPr>
            <w:tcW w:w="0" w:type="auto"/>
          </w:tcPr>
          <w:p w:rsidR="00A2293F" w:rsidRDefault="00855B30" w:rsidP="001D4D92">
            <w:r w:rsidRPr="00136830">
              <w:rPr>
                <w:rFonts w:cs="Cambria"/>
                <w:lang w:val="en-US"/>
              </w:rPr>
              <w:t>(1.04 to 1.11)</w:t>
            </w:r>
          </w:p>
        </w:tc>
      </w:tr>
      <w:tr w:rsidR="00855B30" w:rsidRPr="00136830" w:rsidTr="001A7B0A">
        <w:tc>
          <w:tcPr>
            <w:tcW w:w="0" w:type="auto"/>
            <w:vAlign w:val="center"/>
          </w:tcPr>
          <w:p w:rsidR="00855B30" w:rsidRPr="00136830" w:rsidRDefault="00855B30" w:rsidP="001D4D92">
            <w:pPr>
              <w:rPr>
                <w:rFonts w:cs="Cambria"/>
                <w:b/>
                <w:lang w:val="en-US"/>
              </w:rPr>
            </w:pPr>
            <w:r w:rsidRPr="00136830">
              <w:rPr>
                <w:rFonts w:cs="Cambria"/>
                <w:b/>
                <w:lang w:val="en-US"/>
              </w:rPr>
              <w:t>Intent to leave</w:t>
            </w:r>
          </w:p>
        </w:tc>
        <w:tc>
          <w:tcPr>
            <w:tcW w:w="0" w:type="auto"/>
            <w:vAlign w:val="center"/>
          </w:tcPr>
          <w:p w:rsidR="00855B30" w:rsidRPr="00136830" w:rsidRDefault="00855B30" w:rsidP="001D4D92">
            <w:pPr>
              <w:rPr>
                <w:rFonts w:cs="Cambria"/>
                <w:b/>
                <w:lang w:val="en-US"/>
              </w:rPr>
            </w:pPr>
            <w:r w:rsidRPr="00136830">
              <w:rPr>
                <w:rFonts w:cs="Cambria"/>
                <w:b/>
                <w:lang w:val="en-US"/>
              </w:rPr>
              <w:t>Work environment</w:t>
            </w:r>
          </w:p>
        </w:tc>
        <w:tc>
          <w:tcPr>
            <w:tcW w:w="0" w:type="auto"/>
          </w:tcPr>
          <w:p w:rsidR="00855B30" w:rsidRPr="00136830" w:rsidRDefault="00855B30" w:rsidP="001D4D92">
            <w:pPr>
              <w:jc w:val="both"/>
              <w:rPr>
                <w:rFonts w:cs="Cambria"/>
                <w:lang w:val="en-US"/>
              </w:rPr>
            </w:pPr>
            <w:r w:rsidRPr="00136830">
              <w:rPr>
                <w:rFonts w:cs="Cambria"/>
                <w:lang w:val="en-US"/>
              </w:rPr>
              <w:t>0.72</w:t>
            </w:r>
          </w:p>
        </w:tc>
        <w:tc>
          <w:tcPr>
            <w:tcW w:w="0" w:type="auto"/>
          </w:tcPr>
          <w:p w:rsidR="00855B30" w:rsidRPr="00136830" w:rsidRDefault="00855B30" w:rsidP="001D4D92">
            <w:r w:rsidRPr="00136830">
              <w:rPr>
                <w:rFonts w:cs="Cambria"/>
                <w:lang w:val="en-US"/>
              </w:rPr>
              <w:t>(0.66 to 0.79)</w:t>
            </w:r>
          </w:p>
        </w:tc>
        <w:tc>
          <w:tcPr>
            <w:tcW w:w="0" w:type="auto"/>
          </w:tcPr>
          <w:p w:rsidR="00A2293F" w:rsidRDefault="00855B30" w:rsidP="001D4D92">
            <w:pPr>
              <w:jc w:val="both"/>
              <w:rPr>
                <w:rFonts w:cs="Cambria"/>
                <w:lang w:val="en-US"/>
              </w:rPr>
            </w:pPr>
            <w:r w:rsidRPr="00136830">
              <w:rPr>
                <w:rFonts w:cs="Cambria"/>
                <w:lang w:val="en-US"/>
              </w:rPr>
              <w:t>0.61</w:t>
            </w:r>
          </w:p>
        </w:tc>
        <w:tc>
          <w:tcPr>
            <w:tcW w:w="0" w:type="auto"/>
          </w:tcPr>
          <w:p w:rsidR="00A2293F" w:rsidRDefault="00855B30" w:rsidP="001D4D92">
            <w:r w:rsidRPr="00136830">
              <w:rPr>
                <w:rFonts w:cs="Cambria"/>
                <w:lang w:val="en-US"/>
              </w:rPr>
              <w:t>(0.56 to 0.67)</w:t>
            </w:r>
          </w:p>
        </w:tc>
      </w:tr>
      <w:tr w:rsidR="00855B30" w:rsidRPr="00136830" w:rsidTr="001A7B0A">
        <w:tc>
          <w:tcPr>
            <w:tcW w:w="0" w:type="auto"/>
            <w:vAlign w:val="center"/>
          </w:tcPr>
          <w:p w:rsidR="00855B30" w:rsidRPr="00136830" w:rsidRDefault="00855B30" w:rsidP="001D4D92">
            <w:pPr>
              <w:rPr>
                <w:rFonts w:cs="Cambria"/>
                <w:b/>
                <w:lang w:val="en-US"/>
              </w:rPr>
            </w:pPr>
          </w:p>
        </w:tc>
        <w:tc>
          <w:tcPr>
            <w:tcW w:w="0" w:type="auto"/>
            <w:vAlign w:val="center"/>
          </w:tcPr>
          <w:p w:rsidR="00855B30" w:rsidRPr="00136830" w:rsidRDefault="00855B30" w:rsidP="001D4D92">
            <w:pPr>
              <w:rPr>
                <w:rFonts w:cs="Cambria"/>
                <w:b/>
                <w:lang w:val="en-US"/>
              </w:rPr>
            </w:pPr>
            <w:r w:rsidRPr="00136830">
              <w:rPr>
                <w:rFonts w:cs="Cambria"/>
                <w:b/>
                <w:lang w:val="en-US"/>
              </w:rPr>
              <w:t>Staffing</w:t>
            </w:r>
          </w:p>
        </w:tc>
        <w:tc>
          <w:tcPr>
            <w:tcW w:w="0" w:type="auto"/>
          </w:tcPr>
          <w:p w:rsidR="00855B30" w:rsidRPr="00136830" w:rsidRDefault="00855B30" w:rsidP="001D4D92">
            <w:pPr>
              <w:jc w:val="both"/>
              <w:rPr>
                <w:rFonts w:cs="Cambria"/>
                <w:lang w:val="en-US"/>
              </w:rPr>
            </w:pPr>
            <w:r w:rsidRPr="00136830">
              <w:rPr>
                <w:rFonts w:cs="Cambria"/>
                <w:lang w:val="en-US"/>
              </w:rPr>
              <w:t>1.04</w:t>
            </w:r>
          </w:p>
        </w:tc>
        <w:tc>
          <w:tcPr>
            <w:tcW w:w="0" w:type="auto"/>
          </w:tcPr>
          <w:p w:rsidR="00855B30" w:rsidRPr="00136830" w:rsidRDefault="00855B30" w:rsidP="001D4D92">
            <w:r w:rsidRPr="00136830">
              <w:rPr>
                <w:rFonts w:cs="Cambria"/>
                <w:lang w:val="en-US"/>
              </w:rPr>
              <w:t>(1.01 to 1.06)</w:t>
            </w:r>
          </w:p>
        </w:tc>
        <w:tc>
          <w:tcPr>
            <w:tcW w:w="0" w:type="auto"/>
          </w:tcPr>
          <w:p w:rsidR="00A2293F" w:rsidRDefault="00855B30" w:rsidP="001D4D92">
            <w:pPr>
              <w:jc w:val="both"/>
              <w:rPr>
                <w:rFonts w:cs="Cambria"/>
                <w:lang w:val="en-US"/>
              </w:rPr>
            </w:pPr>
            <w:r w:rsidRPr="00136830">
              <w:rPr>
                <w:rFonts w:cs="Cambria"/>
                <w:lang w:val="en-US"/>
              </w:rPr>
              <w:t>1.05</w:t>
            </w:r>
          </w:p>
        </w:tc>
        <w:tc>
          <w:tcPr>
            <w:tcW w:w="0" w:type="auto"/>
          </w:tcPr>
          <w:p w:rsidR="00A2293F" w:rsidRDefault="00855B30" w:rsidP="001D4D92">
            <w:r w:rsidRPr="00136830">
              <w:rPr>
                <w:rFonts w:cs="Cambria"/>
                <w:lang w:val="en-US"/>
              </w:rPr>
              <w:t>(1.02 to 1.09)</w:t>
            </w:r>
          </w:p>
        </w:tc>
      </w:tr>
      <w:tr w:rsidR="00855B30" w:rsidRPr="00136830" w:rsidTr="001A7B0A">
        <w:tc>
          <w:tcPr>
            <w:tcW w:w="0" w:type="auto"/>
            <w:vAlign w:val="center"/>
          </w:tcPr>
          <w:p w:rsidR="00855B30" w:rsidRPr="00136830" w:rsidRDefault="00855B30" w:rsidP="001D4D92">
            <w:pPr>
              <w:rPr>
                <w:rFonts w:cs="Cambria"/>
                <w:b/>
                <w:lang w:val="en-US"/>
              </w:rPr>
            </w:pPr>
            <w:r w:rsidRPr="00136830">
              <w:rPr>
                <w:rFonts w:cs="Cambria"/>
                <w:b/>
                <w:lang w:val="en-US"/>
              </w:rPr>
              <w:t>Not confident patients can manage care</w:t>
            </w:r>
          </w:p>
        </w:tc>
        <w:tc>
          <w:tcPr>
            <w:tcW w:w="0" w:type="auto"/>
            <w:vAlign w:val="center"/>
          </w:tcPr>
          <w:p w:rsidR="00855B30" w:rsidRPr="00136830" w:rsidRDefault="00855B30" w:rsidP="001D4D92">
            <w:pPr>
              <w:rPr>
                <w:rFonts w:cs="Cambria"/>
                <w:b/>
                <w:lang w:val="en-US"/>
              </w:rPr>
            </w:pPr>
            <w:r w:rsidRPr="00136830">
              <w:rPr>
                <w:rFonts w:cs="Cambria"/>
                <w:b/>
                <w:lang w:val="en-US"/>
              </w:rPr>
              <w:t>Work environment</w:t>
            </w:r>
          </w:p>
        </w:tc>
        <w:tc>
          <w:tcPr>
            <w:tcW w:w="0" w:type="auto"/>
          </w:tcPr>
          <w:p w:rsidR="00855B30" w:rsidRPr="00136830" w:rsidRDefault="00855B30" w:rsidP="001D4D92">
            <w:pPr>
              <w:jc w:val="both"/>
              <w:rPr>
                <w:rFonts w:cs="Cambria"/>
                <w:lang w:val="en-US"/>
              </w:rPr>
            </w:pPr>
            <w:r w:rsidRPr="00136830">
              <w:rPr>
                <w:rFonts w:cs="Cambria"/>
                <w:lang w:val="en-US"/>
              </w:rPr>
              <w:t>0.62</w:t>
            </w:r>
          </w:p>
        </w:tc>
        <w:tc>
          <w:tcPr>
            <w:tcW w:w="0" w:type="auto"/>
          </w:tcPr>
          <w:p w:rsidR="00855B30" w:rsidRPr="00136830" w:rsidRDefault="00855B30" w:rsidP="001D4D92">
            <w:r w:rsidRPr="00136830">
              <w:rPr>
                <w:rFonts w:cs="Cambria"/>
                <w:lang w:val="en-US"/>
              </w:rPr>
              <w:t>(0.56 to 0.69)</w:t>
            </w:r>
          </w:p>
        </w:tc>
        <w:tc>
          <w:tcPr>
            <w:tcW w:w="0" w:type="auto"/>
          </w:tcPr>
          <w:p w:rsidR="00A2293F" w:rsidRDefault="00855B30" w:rsidP="001D4D92">
            <w:pPr>
              <w:jc w:val="both"/>
              <w:rPr>
                <w:rFonts w:cs="Cambria"/>
                <w:lang w:val="en-US"/>
              </w:rPr>
            </w:pPr>
            <w:r w:rsidRPr="00136830">
              <w:rPr>
                <w:rFonts w:cs="Cambria"/>
                <w:lang w:val="en-US"/>
              </w:rPr>
              <w:t>0.73</w:t>
            </w:r>
          </w:p>
        </w:tc>
        <w:tc>
          <w:tcPr>
            <w:tcW w:w="0" w:type="auto"/>
          </w:tcPr>
          <w:p w:rsidR="00A2293F" w:rsidRDefault="00855B30" w:rsidP="001D4D92">
            <w:r w:rsidRPr="00136830">
              <w:rPr>
                <w:rFonts w:cs="Cambria"/>
                <w:lang w:val="en-US"/>
              </w:rPr>
              <w:t>(0.69 to 0.78)</w:t>
            </w:r>
          </w:p>
        </w:tc>
      </w:tr>
      <w:tr w:rsidR="00855B30" w:rsidRPr="00136830" w:rsidTr="001A7B0A">
        <w:tc>
          <w:tcPr>
            <w:tcW w:w="0" w:type="auto"/>
            <w:vAlign w:val="center"/>
          </w:tcPr>
          <w:p w:rsidR="00855B30" w:rsidRPr="00136830" w:rsidRDefault="00855B30" w:rsidP="001D4D92">
            <w:pPr>
              <w:rPr>
                <w:rFonts w:cs="Cambria"/>
                <w:b/>
                <w:lang w:val="en-US"/>
              </w:rPr>
            </w:pPr>
          </w:p>
        </w:tc>
        <w:tc>
          <w:tcPr>
            <w:tcW w:w="0" w:type="auto"/>
            <w:vAlign w:val="center"/>
          </w:tcPr>
          <w:p w:rsidR="00855B30" w:rsidRPr="00136830" w:rsidRDefault="00855B30" w:rsidP="001D4D92">
            <w:pPr>
              <w:rPr>
                <w:rFonts w:cs="Cambria"/>
                <w:b/>
                <w:lang w:val="en-US"/>
              </w:rPr>
            </w:pPr>
            <w:r w:rsidRPr="00136830">
              <w:rPr>
                <w:rFonts w:cs="Cambria"/>
                <w:b/>
                <w:lang w:val="en-US"/>
              </w:rPr>
              <w:t>Staffing</w:t>
            </w:r>
          </w:p>
        </w:tc>
        <w:tc>
          <w:tcPr>
            <w:tcW w:w="0" w:type="auto"/>
          </w:tcPr>
          <w:p w:rsidR="00855B30" w:rsidRPr="00136830" w:rsidRDefault="00855B30" w:rsidP="001D4D92">
            <w:pPr>
              <w:jc w:val="both"/>
              <w:rPr>
                <w:rFonts w:cs="Cambria"/>
                <w:lang w:val="en-US"/>
              </w:rPr>
            </w:pPr>
            <w:r w:rsidRPr="00136830">
              <w:rPr>
                <w:rFonts w:cs="Cambria"/>
                <w:lang w:val="en-US"/>
              </w:rPr>
              <w:t>1.08</w:t>
            </w:r>
          </w:p>
        </w:tc>
        <w:tc>
          <w:tcPr>
            <w:tcW w:w="0" w:type="auto"/>
          </w:tcPr>
          <w:p w:rsidR="00855B30" w:rsidRPr="00136830" w:rsidRDefault="00855B30" w:rsidP="001D4D92">
            <w:r w:rsidRPr="00136830">
              <w:rPr>
                <w:rFonts w:cs="Cambria"/>
                <w:lang w:val="en-US"/>
              </w:rPr>
              <w:t>(1.05 to 1.11)</w:t>
            </w:r>
          </w:p>
        </w:tc>
        <w:tc>
          <w:tcPr>
            <w:tcW w:w="0" w:type="auto"/>
          </w:tcPr>
          <w:p w:rsidR="00A2293F" w:rsidRDefault="00855B30" w:rsidP="001D4D92">
            <w:pPr>
              <w:jc w:val="both"/>
              <w:rPr>
                <w:rFonts w:cs="Cambria"/>
                <w:lang w:val="en-US"/>
              </w:rPr>
            </w:pPr>
            <w:r w:rsidRPr="00136830">
              <w:rPr>
                <w:rFonts w:cs="Cambria"/>
                <w:lang w:val="en-US"/>
              </w:rPr>
              <w:t>1.03</w:t>
            </w:r>
          </w:p>
        </w:tc>
        <w:tc>
          <w:tcPr>
            <w:tcW w:w="0" w:type="auto"/>
          </w:tcPr>
          <w:p w:rsidR="00A2293F" w:rsidRDefault="00855B30" w:rsidP="001D4D92">
            <w:r w:rsidRPr="00136830">
              <w:rPr>
                <w:rFonts w:cs="Cambria"/>
                <w:lang w:val="en-US"/>
              </w:rPr>
              <w:t>(1.00 to 1.05)</w:t>
            </w:r>
          </w:p>
        </w:tc>
      </w:tr>
      <w:tr w:rsidR="00855B30" w:rsidRPr="00136830" w:rsidTr="001A7B0A">
        <w:tc>
          <w:tcPr>
            <w:tcW w:w="0" w:type="auto"/>
            <w:vAlign w:val="center"/>
          </w:tcPr>
          <w:p w:rsidR="00855B30" w:rsidRPr="00136830" w:rsidRDefault="00855B30" w:rsidP="001D4D92">
            <w:pPr>
              <w:rPr>
                <w:rFonts w:cs="Cambria"/>
                <w:b/>
                <w:lang w:val="en-US"/>
              </w:rPr>
            </w:pPr>
            <w:r w:rsidRPr="00136830">
              <w:rPr>
                <w:rFonts w:cs="Cambria"/>
                <w:b/>
                <w:lang w:val="en-US"/>
              </w:rPr>
              <w:t>Not confident management resolves patient problems</w:t>
            </w:r>
          </w:p>
        </w:tc>
        <w:tc>
          <w:tcPr>
            <w:tcW w:w="0" w:type="auto"/>
            <w:vAlign w:val="center"/>
          </w:tcPr>
          <w:p w:rsidR="00855B30" w:rsidRPr="00136830" w:rsidRDefault="00855B30" w:rsidP="001D4D92">
            <w:pPr>
              <w:rPr>
                <w:rFonts w:cs="Cambria"/>
                <w:b/>
                <w:lang w:val="en-US"/>
              </w:rPr>
            </w:pPr>
            <w:r w:rsidRPr="00136830">
              <w:rPr>
                <w:rFonts w:cs="Cambria"/>
                <w:b/>
                <w:lang w:val="en-US"/>
              </w:rPr>
              <w:t>Work environment</w:t>
            </w:r>
          </w:p>
        </w:tc>
        <w:tc>
          <w:tcPr>
            <w:tcW w:w="0" w:type="auto"/>
          </w:tcPr>
          <w:p w:rsidR="00855B30" w:rsidRPr="00136830" w:rsidRDefault="00855B30" w:rsidP="001D4D92">
            <w:pPr>
              <w:jc w:val="both"/>
              <w:rPr>
                <w:rFonts w:cs="Cambria"/>
                <w:lang w:val="en-US"/>
              </w:rPr>
            </w:pPr>
            <w:r w:rsidRPr="00136830">
              <w:rPr>
                <w:rFonts w:cs="Cambria"/>
                <w:lang w:val="en-US"/>
              </w:rPr>
              <w:t>0.50</w:t>
            </w:r>
          </w:p>
        </w:tc>
        <w:tc>
          <w:tcPr>
            <w:tcW w:w="0" w:type="auto"/>
          </w:tcPr>
          <w:p w:rsidR="00855B30" w:rsidRPr="00136830" w:rsidRDefault="00855B30" w:rsidP="001D4D92">
            <w:r w:rsidRPr="00136830">
              <w:rPr>
                <w:rFonts w:cs="Cambria"/>
                <w:lang w:val="en-US"/>
              </w:rPr>
              <w:t>(0.46 to 0.54)</w:t>
            </w:r>
          </w:p>
        </w:tc>
        <w:tc>
          <w:tcPr>
            <w:tcW w:w="0" w:type="auto"/>
          </w:tcPr>
          <w:p w:rsidR="00A2293F" w:rsidRDefault="00855B30" w:rsidP="001D4D92">
            <w:pPr>
              <w:jc w:val="both"/>
              <w:rPr>
                <w:rFonts w:cs="Cambria"/>
                <w:lang w:val="en-US"/>
              </w:rPr>
            </w:pPr>
            <w:r w:rsidRPr="00136830">
              <w:rPr>
                <w:rFonts w:cs="Cambria"/>
                <w:lang w:val="en-US"/>
              </w:rPr>
              <w:t>0.53</w:t>
            </w:r>
          </w:p>
        </w:tc>
        <w:tc>
          <w:tcPr>
            <w:tcW w:w="0" w:type="auto"/>
          </w:tcPr>
          <w:p w:rsidR="00A2293F" w:rsidRDefault="00855B30" w:rsidP="001D4D92">
            <w:r w:rsidRPr="00136830">
              <w:rPr>
                <w:rFonts w:cs="Cambria"/>
                <w:lang w:val="en-US"/>
              </w:rPr>
              <w:t>(0.48 to 0.58)</w:t>
            </w:r>
          </w:p>
        </w:tc>
      </w:tr>
      <w:tr w:rsidR="00855B30" w:rsidRPr="00136830" w:rsidTr="001A7B0A">
        <w:tc>
          <w:tcPr>
            <w:tcW w:w="0" w:type="auto"/>
            <w:vAlign w:val="center"/>
          </w:tcPr>
          <w:p w:rsidR="00855B30" w:rsidRPr="00136830" w:rsidRDefault="00855B30" w:rsidP="001D4D92">
            <w:pPr>
              <w:rPr>
                <w:rFonts w:cs="Cambria"/>
                <w:b/>
                <w:lang w:val="en-US"/>
              </w:rPr>
            </w:pPr>
          </w:p>
        </w:tc>
        <w:tc>
          <w:tcPr>
            <w:tcW w:w="0" w:type="auto"/>
            <w:vAlign w:val="center"/>
          </w:tcPr>
          <w:p w:rsidR="00855B30" w:rsidRPr="00136830" w:rsidRDefault="00855B30" w:rsidP="001D4D92">
            <w:pPr>
              <w:rPr>
                <w:rFonts w:cs="Cambria"/>
                <w:b/>
                <w:lang w:val="en-US"/>
              </w:rPr>
            </w:pPr>
            <w:r w:rsidRPr="00136830">
              <w:rPr>
                <w:rFonts w:cs="Cambria"/>
                <w:b/>
                <w:lang w:val="en-US"/>
              </w:rPr>
              <w:t>Staffing</w:t>
            </w:r>
          </w:p>
        </w:tc>
        <w:tc>
          <w:tcPr>
            <w:tcW w:w="0" w:type="auto"/>
          </w:tcPr>
          <w:p w:rsidR="00855B30" w:rsidRPr="00136830" w:rsidRDefault="00855B30" w:rsidP="001D4D92">
            <w:pPr>
              <w:jc w:val="both"/>
              <w:rPr>
                <w:rFonts w:cs="Cambria"/>
                <w:lang w:val="en-US"/>
              </w:rPr>
            </w:pPr>
            <w:r w:rsidRPr="00136830">
              <w:rPr>
                <w:rFonts w:cs="Cambria"/>
                <w:lang w:val="en-US"/>
              </w:rPr>
              <w:t>1.04</w:t>
            </w:r>
          </w:p>
        </w:tc>
        <w:tc>
          <w:tcPr>
            <w:tcW w:w="0" w:type="auto"/>
          </w:tcPr>
          <w:p w:rsidR="00855B30" w:rsidRPr="00136830" w:rsidRDefault="00855B30" w:rsidP="001D4D92">
            <w:r w:rsidRPr="00136830">
              <w:rPr>
                <w:rFonts w:cs="Cambria"/>
                <w:lang w:val="en-US"/>
              </w:rPr>
              <w:t>(1.01 to 1.07)</w:t>
            </w:r>
          </w:p>
        </w:tc>
        <w:tc>
          <w:tcPr>
            <w:tcW w:w="0" w:type="auto"/>
          </w:tcPr>
          <w:p w:rsidR="00A2293F" w:rsidRDefault="00855B30" w:rsidP="001D4D92">
            <w:pPr>
              <w:jc w:val="both"/>
              <w:rPr>
                <w:rFonts w:cs="Cambria"/>
                <w:lang w:val="en-US"/>
              </w:rPr>
            </w:pPr>
            <w:r w:rsidRPr="00136830">
              <w:rPr>
                <w:rFonts w:cs="Cambria"/>
                <w:lang w:val="en-US"/>
              </w:rPr>
              <w:t>1.02</w:t>
            </w:r>
          </w:p>
        </w:tc>
        <w:tc>
          <w:tcPr>
            <w:tcW w:w="0" w:type="auto"/>
          </w:tcPr>
          <w:p w:rsidR="00A2293F" w:rsidRDefault="00855B30" w:rsidP="001D4D92">
            <w:r w:rsidRPr="00136830">
              <w:rPr>
                <w:rFonts w:cs="Cambria"/>
                <w:lang w:val="en-US"/>
              </w:rPr>
              <w:t>(0.98 to 1.06)</w:t>
            </w:r>
          </w:p>
        </w:tc>
      </w:tr>
    </w:tbl>
    <w:p w:rsidR="00A2293F" w:rsidRDefault="00A2293F" w:rsidP="00A749DD">
      <w:pPr>
        <w:autoSpaceDE w:val="0"/>
        <w:autoSpaceDN w:val="0"/>
        <w:adjustRightInd w:val="0"/>
        <w:spacing w:after="0" w:line="480" w:lineRule="auto"/>
        <w:jc w:val="both"/>
        <w:rPr>
          <w:rFonts w:cs="Cambria"/>
          <w:lang w:val="en-US"/>
        </w:rPr>
      </w:pPr>
    </w:p>
    <w:p w:rsidR="00A2293F" w:rsidRDefault="00855B30" w:rsidP="00A749DD">
      <w:pPr>
        <w:spacing w:line="480" w:lineRule="auto"/>
        <w:jc w:val="both"/>
        <w:rPr>
          <w:rFonts w:cs="Times New Roman"/>
          <w:lang w:val="en-US"/>
        </w:rPr>
      </w:pPr>
      <w:r w:rsidRPr="00136830">
        <w:rPr>
          <w:lang w:val="en-US"/>
        </w:rPr>
        <w:t xml:space="preserve">Table 7 shows the results of using similar robust logistic regression models that allow for the clustering of patients within hospitals and estimate the separate effects of the different nursing factors and nurse characteristics on 1) the odds of patients rating their hospital highly (9 or 10 vs. &lt;9), 2) the odds of patients indicating that they would definitely recommend their hospital, and 3) the odds of patients responding that nurses always treated them with courtesy and respect, listened to them carefully, and explained things in a clear manner. The work environment has a sizable and positive effect on all three positively scaled patient measures in all countries. Patients in hospitals </w:t>
      </w:r>
      <w:r w:rsidRPr="00136830">
        <w:rPr>
          <w:lang w:val="en-US"/>
        </w:rPr>
        <w:lastRenderedPageBreak/>
        <w:t xml:space="preserve">with better work environments were more likely to rate their hospital highly and to recommend their hospital, while patients in hospitals with higher patient-to-nurse ratios were less likely to rate their hospital highly and to recommend their hospital. Table 7 also shows that the odds of patients rating their hospital highly, recommending their hospital, and responding </w:t>
      </w:r>
      <w:proofErr w:type="spellStart"/>
      <w:r w:rsidRPr="00136830">
        <w:rPr>
          <w:lang w:val="en-US"/>
        </w:rPr>
        <w:t>favourably</w:t>
      </w:r>
      <w:proofErr w:type="spellEnd"/>
      <w:r w:rsidRPr="00136830">
        <w:rPr>
          <w:lang w:val="en-US"/>
        </w:rPr>
        <w:t xml:space="preserve"> about nurses are lower in hospitals that have higher percentages of nurses reporting only fair or poor quality care and poorer failing safety grades. Patients exhibit less satisfaction in hospitals with higher percentages of</w:t>
      </w:r>
      <w:r>
        <w:rPr>
          <w:lang w:val="en-US"/>
        </w:rPr>
        <w:t xml:space="preserve"> </w:t>
      </w:r>
      <w:r w:rsidRPr="00136830">
        <w:rPr>
          <w:lang w:val="en-US"/>
        </w:rPr>
        <w:t>burned out or dissatisfied nurses, and in hospitals where more nurses lack confidence in management.</w:t>
      </w:r>
    </w:p>
    <w:p w:rsidR="00A2293F" w:rsidRDefault="00FC6AB2" w:rsidP="00A749DD">
      <w:pPr>
        <w:spacing w:line="480" w:lineRule="auto"/>
        <w:jc w:val="both"/>
        <w:rPr>
          <w:lang w:val="en-US"/>
        </w:rPr>
      </w:pPr>
      <w:r w:rsidRPr="00FC6AB2">
        <w:rPr>
          <w:lang w:val="en-US"/>
        </w:rPr>
        <w:t>Table 7. Odds ratios indicating the effects of nursing factors and nurse characteristics on patient outcomes</w:t>
      </w:r>
    </w:p>
    <w:tbl>
      <w:tblPr>
        <w:tblStyle w:val="Tabelraster"/>
        <w:tblW w:w="0" w:type="auto"/>
        <w:tblLook w:val="04A0"/>
      </w:tblPr>
      <w:tblGrid>
        <w:gridCol w:w="1516"/>
        <w:gridCol w:w="608"/>
        <w:gridCol w:w="689"/>
        <w:gridCol w:w="607"/>
        <w:gridCol w:w="688"/>
        <w:gridCol w:w="607"/>
        <w:gridCol w:w="688"/>
        <w:gridCol w:w="607"/>
        <w:gridCol w:w="688"/>
        <w:gridCol w:w="607"/>
        <w:gridCol w:w="688"/>
        <w:gridCol w:w="607"/>
        <w:gridCol w:w="688"/>
      </w:tblGrid>
      <w:tr w:rsidR="00855B30" w:rsidRPr="00136830" w:rsidTr="001A7B0A">
        <w:tc>
          <w:tcPr>
            <w:tcW w:w="0" w:type="auto"/>
          </w:tcPr>
          <w:p w:rsidR="00A2293F" w:rsidRDefault="00A2293F" w:rsidP="001D4D92">
            <w:pPr>
              <w:jc w:val="both"/>
              <w:rPr>
                <w:rFonts w:cs="Cambria"/>
                <w:lang w:val="en-US"/>
              </w:rPr>
            </w:pPr>
          </w:p>
        </w:tc>
        <w:tc>
          <w:tcPr>
            <w:tcW w:w="0" w:type="auto"/>
            <w:gridSpan w:val="4"/>
            <w:vAlign w:val="center"/>
          </w:tcPr>
          <w:p w:rsidR="00A2293F" w:rsidRDefault="00855B30" w:rsidP="001D4D92">
            <w:pPr>
              <w:jc w:val="center"/>
              <w:rPr>
                <w:rFonts w:cs="Cambria"/>
                <w:b/>
                <w:lang w:val="en-US"/>
              </w:rPr>
            </w:pPr>
            <w:r w:rsidRPr="00136830">
              <w:rPr>
                <w:rFonts w:cs="Cambria"/>
                <w:b/>
                <w:lang w:val="en-US"/>
              </w:rPr>
              <w:t>Rating hospital 9 or 10</w:t>
            </w:r>
          </w:p>
        </w:tc>
        <w:tc>
          <w:tcPr>
            <w:tcW w:w="0" w:type="auto"/>
            <w:gridSpan w:val="4"/>
            <w:vAlign w:val="center"/>
          </w:tcPr>
          <w:p w:rsidR="00A2293F" w:rsidRDefault="00855B30" w:rsidP="001D4D92">
            <w:pPr>
              <w:jc w:val="center"/>
              <w:rPr>
                <w:rFonts w:cs="Cambria"/>
                <w:b/>
                <w:lang w:val="en-US"/>
              </w:rPr>
            </w:pPr>
            <w:r w:rsidRPr="00136830">
              <w:rPr>
                <w:rFonts w:cs="Cambria"/>
                <w:b/>
                <w:lang w:val="en-US"/>
              </w:rPr>
              <w:t>Definitely recommending hospital</w:t>
            </w:r>
          </w:p>
        </w:tc>
        <w:tc>
          <w:tcPr>
            <w:tcW w:w="0" w:type="auto"/>
            <w:gridSpan w:val="4"/>
          </w:tcPr>
          <w:p w:rsidR="00A2293F" w:rsidRDefault="00855B30" w:rsidP="001D4D92">
            <w:pPr>
              <w:jc w:val="center"/>
              <w:rPr>
                <w:rFonts w:cs="Cambria"/>
                <w:b/>
                <w:lang w:val="en-US"/>
              </w:rPr>
            </w:pPr>
            <w:proofErr w:type="spellStart"/>
            <w:r w:rsidRPr="00136830">
              <w:rPr>
                <w:rFonts w:cs="Cambria"/>
                <w:b/>
                <w:lang w:val="en-US"/>
              </w:rPr>
              <w:t>Favourable</w:t>
            </w:r>
            <w:proofErr w:type="spellEnd"/>
            <w:r w:rsidRPr="00136830">
              <w:rPr>
                <w:rFonts w:cs="Cambria"/>
                <w:b/>
                <w:lang w:val="en-US"/>
              </w:rPr>
              <w:t xml:space="preserve"> nurse communication</w:t>
            </w:r>
          </w:p>
        </w:tc>
      </w:tr>
      <w:tr w:rsidR="00855B30" w:rsidRPr="00136830" w:rsidTr="001A7B0A">
        <w:tc>
          <w:tcPr>
            <w:tcW w:w="0" w:type="auto"/>
          </w:tcPr>
          <w:p w:rsidR="00A2293F" w:rsidRDefault="00A2293F" w:rsidP="001D4D92">
            <w:pPr>
              <w:jc w:val="both"/>
              <w:rPr>
                <w:rFonts w:cs="Cambria"/>
                <w:lang w:val="en-US"/>
              </w:rPr>
            </w:pPr>
          </w:p>
        </w:tc>
        <w:tc>
          <w:tcPr>
            <w:tcW w:w="0" w:type="auto"/>
            <w:gridSpan w:val="2"/>
            <w:vAlign w:val="center"/>
          </w:tcPr>
          <w:p w:rsidR="00A2293F" w:rsidRDefault="00855B30" w:rsidP="001D4D92">
            <w:pPr>
              <w:jc w:val="center"/>
              <w:rPr>
                <w:rFonts w:cs="Cambria"/>
                <w:b/>
                <w:lang w:val="en-US"/>
              </w:rPr>
            </w:pPr>
            <w:r w:rsidRPr="00136830">
              <w:rPr>
                <w:rFonts w:cs="Cambria"/>
                <w:b/>
                <w:lang w:val="en-US"/>
              </w:rPr>
              <w:t>Unadjusted</w:t>
            </w:r>
          </w:p>
        </w:tc>
        <w:tc>
          <w:tcPr>
            <w:tcW w:w="0" w:type="auto"/>
            <w:gridSpan w:val="2"/>
          </w:tcPr>
          <w:p w:rsidR="00A2293F" w:rsidRDefault="00855B30" w:rsidP="001D4D92">
            <w:pPr>
              <w:jc w:val="center"/>
              <w:rPr>
                <w:rFonts w:cs="Cambria"/>
                <w:b/>
                <w:lang w:val="en-US"/>
              </w:rPr>
            </w:pPr>
            <w:r w:rsidRPr="00136830">
              <w:rPr>
                <w:rFonts w:cs="Cambria"/>
                <w:b/>
                <w:lang w:val="en-US"/>
              </w:rPr>
              <w:t>Adjusted</w:t>
            </w:r>
          </w:p>
        </w:tc>
        <w:tc>
          <w:tcPr>
            <w:tcW w:w="0" w:type="auto"/>
            <w:gridSpan w:val="2"/>
            <w:vAlign w:val="center"/>
          </w:tcPr>
          <w:p w:rsidR="00A2293F" w:rsidRDefault="00855B30" w:rsidP="001D4D92">
            <w:pPr>
              <w:jc w:val="center"/>
              <w:rPr>
                <w:rFonts w:cs="Cambria"/>
                <w:b/>
                <w:lang w:val="en-US"/>
              </w:rPr>
            </w:pPr>
            <w:r w:rsidRPr="00136830">
              <w:rPr>
                <w:rFonts w:cs="Cambria"/>
                <w:b/>
                <w:lang w:val="en-US"/>
              </w:rPr>
              <w:t>Unadjusted</w:t>
            </w:r>
          </w:p>
        </w:tc>
        <w:tc>
          <w:tcPr>
            <w:tcW w:w="0" w:type="auto"/>
            <w:gridSpan w:val="2"/>
          </w:tcPr>
          <w:p w:rsidR="00A2293F" w:rsidRDefault="00855B30" w:rsidP="001D4D92">
            <w:pPr>
              <w:jc w:val="center"/>
              <w:rPr>
                <w:rFonts w:cs="Cambria"/>
                <w:b/>
                <w:lang w:val="en-US"/>
              </w:rPr>
            </w:pPr>
            <w:r w:rsidRPr="00136830">
              <w:rPr>
                <w:rFonts w:cs="Cambria"/>
                <w:b/>
                <w:lang w:val="en-US"/>
              </w:rPr>
              <w:t>Adjusted</w:t>
            </w:r>
          </w:p>
        </w:tc>
        <w:tc>
          <w:tcPr>
            <w:tcW w:w="0" w:type="auto"/>
            <w:gridSpan w:val="2"/>
            <w:vAlign w:val="center"/>
          </w:tcPr>
          <w:p w:rsidR="00A2293F" w:rsidRDefault="00855B30" w:rsidP="001D4D92">
            <w:pPr>
              <w:jc w:val="center"/>
              <w:rPr>
                <w:rFonts w:cs="Cambria"/>
                <w:b/>
                <w:lang w:val="en-US"/>
              </w:rPr>
            </w:pPr>
            <w:r w:rsidRPr="00136830">
              <w:rPr>
                <w:rFonts w:cs="Cambria"/>
                <w:b/>
                <w:lang w:val="en-US"/>
              </w:rPr>
              <w:t>Unadjusted</w:t>
            </w:r>
          </w:p>
        </w:tc>
        <w:tc>
          <w:tcPr>
            <w:tcW w:w="0" w:type="auto"/>
            <w:gridSpan w:val="2"/>
          </w:tcPr>
          <w:p w:rsidR="00A2293F" w:rsidRDefault="00855B30" w:rsidP="001D4D92">
            <w:pPr>
              <w:jc w:val="center"/>
              <w:rPr>
                <w:rFonts w:cs="Cambria"/>
                <w:b/>
                <w:lang w:val="en-US"/>
              </w:rPr>
            </w:pPr>
            <w:r w:rsidRPr="00136830">
              <w:rPr>
                <w:rFonts w:cs="Cambria"/>
                <w:b/>
                <w:lang w:val="en-US"/>
              </w:rPr>
              <w:t>Adjusted</w:t>
            </w:r>
          </w:p>
        </w:tc>
      </w:tr>
      <w:tr w:rsidR="00855B30" w:rsidRPr="00136830" w:rsidTr="001A7B0A">
        <w:tc>
          <w:tcPr>
            <w:tcW w:w="0" w:type="auto"/>
          </w:tcPr>
          <w:p w:rsidR="00A2293F" w:rsidRDefault="00855B30" w:rsidP="001D4D92">
            <w:pPr>
              <w:jc w:val="both"/>
              <w:rPr>
                <w:rFonts w:cs="Cambria"/>
                <w:b/>
                <w:lang w:val="en-US"/>
              </w:rPr>
            </w:pPr>
            <w:r w:rsidRPr="00136830">
              <w:rPr>
                <w:rFonts w:cs="Cambria"/>
                <w:b/>
                <w:lang w:val="en-US"/>
              </w:rPr>
              <w:t>Factors</w:t>
            </w:r>
          </w:p>
        </w:tc>
        <w:tc>
          <w:tcPr>
            <w:tcW w:w="0" w:type="auto"/>
          </w:tcPr>
          <w:p w:rsidR="00A2293F" w:rsidRDefault="00855B30" w:rsidP="001D4D92">
            <w:pPr>
              <w:jc w:val="both"/>
              <w:rPr>
                <w:rFonts w:cs="Cambria"/>
                <w:b/>
                <w:lang w:val="en-US"/>
              </w:rPr>
            </w:pPr>
            <w:r w:rsidRPr="00136830">
              <w:rPr>
                <w:rFonts w:cs="Cambria"/>
                <w:b/>
                <w:lang w:val="en-US"/>
              </w:rPr>
              <w:t>OR</w:t>
            </w:r>
          </w:p>
        </w:tc>
        <w:tc>
          <w:tcPr>
            <w:tcW w:w="0" w:type="auto"/>
          </w:tcPr>
          <w:p w:rsidR="00A2293F" w:rsidRDefault="00855B30" w:rsidP="001D4D92">
            <w:pPr>
              <w:jc w:val="both"/>
              <w:rPr>
                <w:rFonts w:cs="Cambria"/>
                <w:b/>
                <w:lang w:val="en-US"/>
              </w:rPr>
            </w:pPr>
            <w:r w:rsidRPr="00136830">
              <w:rPr>
                <w:rFonts w:cs="Cambria"/>
                <w:b/>
                <w:lang w:val="en-US"/>
              </w:rPr>
              <w:t>95% CI</w:t>
            </w:r>
          </w:p>
        </w:tc>
        <w:tc>
          <w:tcPr>
            <w:tcW w:w="0" w:type="auto"/>
          </w:tcPr>
          <w:p w:rsidR="00A2293F" w:rsidRDefault="00855B30" w:rsidP="001D4D92">
            <w:pPr>
              <w:jc w:val="both"/>
              <w:rPr>
                <w:rFonts w:cs="Cambria"/>
                <w:b/>
                <w:lang w:val="en-US"/>
              </w:rPr>
            </w:pPr>
            <w:r w:rsidRPr="00136830">
              <w:rPr>
                <w:rFonts w:cs="Cambria"/>
                <w:b/>
                <w:lang w:val="en-US"/>
              </w:rPr>
              <w:t>OR</w:t>
            </w:r>
          </w:p>
        </w:tc>
        <w:tc>
          <w:tcPr>
            <w:tcW w:w="0" w:type="auto"/>
          </w:tcPr>
          <w:p w:rsidR="00A2293F" w:rsidRDefault="00855B30" w:rsidP="001D4D92">
            <w:pPr>
              <w:jc w:val="both"/>
              <w:rPr>
                <w:rFonts w:cs="Cambria"/>
                <w:b/>
                <w:lang w:val="en-US"/>
              </w:rPr>
            </w:pPr>
            <w:r w:rsidRPr="00136830">
              <w:rPr>
                <w:rFonts w:cs="Cambria"/>
                <w:b/>
                <w:lang w:val="en-US"/>
              </w:rPr>
              <w:t>95% CI</w:t>
            </w:r>
          </w:p>
        </w:tc>
        <w:tc>
          <w:tcPr>
            <w:tcW w:w="0" w:type="auto"/>
          </w:tcPr>
          <w:p w:rsidR="00A2293F" w:rsidRDefault="00855B30" w:rsidP="001D4D92">
            <w:pPr>
              <w:jc w:val="both"/>
              <w:rPr>
                <w:rFonts w:cs="Cambria"/>
                <w:b/>
                <w:lang w:val="en-US"/>
              </w:rPr>
            </w:pPr>
            <w:r w:rsidRPr="00136830">
              <w:rPr>
                <w:rFonts w:cs="Cambria"/>
                <w:b/>
                <w:lang w:val="en-US"/>
              </w:rPr>
              <w:t>OR</w:t>
            </w:r>
          </w:p>
        </w:tc>
        <w:tc>
          <w:tcPr>
            <w:tcW w:w="0" w:type="auto"/>
          </w:tcPr>
          <w:p w:rsidR="00A2293F" w:rsidRDefault="00855B30" w:rsidP="001D4D92">
            <w:pPr>
              <w:jc w:val="both"/>
              <w:rPr>
                <w:rFonts w:cs="Cambria"/>
                <w:b/>
                <w:lang w:val="en-US"/>
              </w:rPr>
            </w:pPr>
            <w:r w:rsidRPr="00136830">
              <w:rPr>
                <w:rFonts w:cs="Cambria"/>
                <w:b/>
                <w:lang w:val="en-US"/>
              </w:rPr>
              <w:t>95% CI</w:t>
            </w:r>
          </w:p>
        </w:tc>
        <w:tc>
          <w:tcPr>
            <w:tcW w:w="0" w:type="auto"/>
          </w:tcPr>
          <w:p w:rsidR="00A2293F" w:rsidRDefault="00855B30" w:rsidP="001D4D92">
            <w:pPr>
              <w:jc w:val="both"/>
              <w:rPr>
                <w:rFonts w:cs="Cambria"/>
                <w:b/>
                <w:lang w:val="en-US"/>
              </w:rPr>
            </w:pPr>
            <w:r w:rsidRPr="00136830">
              <w:rPr>
                <w:rFonts w:cs="Cambria"/>
                <w:b/>
                <w:lang w:val="en-US"/>
              </w:rPr>
              <w:t>OR</w:t>
            </w:r>
          </w:p>
        </w:tc>
        <w:tc>
          <w:tcPr>
            <w:tcW w:w="0" w:type="auto"/>
          </w:tcPr>
          <w:p w:rsidR="00A2293F" w:rsidRDefault="00855B30" w:rsidP="001D4D92">
            <w:pPr>
              <w:jc w:val="both"/>
              <w:rPr>
                <w:rFonts w:cs="Cambria"/>
                <w:b/>
                <w:lang w:val="en-US"/>
              </w:rPr>
            </w:pPr>
            <w:r w:rsidRPr="00136830">
              <w:rPr>
                <w:rFonts w:cs="Cambria"/>
                <w:b/>
                <w:lang w:val="en-US"/>
              </w:rPr>
              <w:t>95% CI</w:t>
            </w:r>
          </w:p>
        </w:tc>
        <w:tc>
          <w:tcPr>
            <w:tcW w:w="0" w:type="auto"/>
          </w:tcPr>
          <w:p w:rsidR="00A2293F" w:rsidRDefault="00855B30" w:rsidP="001D4D92">
            <w:pPr>
              <w:jc w:val="both"/>
              <w:rPr>
                <w:rFonts w:cs="Cambria"/>
                <w:b/>
                <w:lang w:val="en-US"/>
              </w:rPr>
            </w:pPr>
            <w:r w:rsidRPr="00136830">
              <w:rPr>
                <w:rFonts w:cs="Cambria"/>
                <w:b/>
                <w:lang w:val="en-US"/>
              </w:rPr>
              <w:t>OR</w:t>
            </w:r>
          </w:p>
        </w:tc>
        <w:tc>
          <w:tcPr>
            <w:tcW w:w="0" w:type="auto"/>
          </w:tcPr>
          <w:p w:rsidR="00A2293F" w:rsidRDefault="00855B30" w:rsidP="001D4D92">
            <w:pPr>
              <w:jc w:val="both"/>
              <w:rPr>
                <w:rFonts w:cs="Cambria"/>
                <w:b/>
                <w:lang w:val="en-US"/>
              </w:rPr>
            </w:pPr>
            <w:r w:rsidRPr="00136830">
              <w:rPr>
                <w:rFonts w:cs="Cambria"/>
                <w:b/>
                <w:lang w:val="en-US"/>
              </w:rPr>
              <w:t>95% CI</w:t>
            </w:r>
          </w:p>
        </w:tc>
        <w:tc>
          <w:tcPr>
            <w:tcW w:w="0" w:type="auto"/>
          </w:tcPr>
          <w:p w:rsidR="00A2293F" w:rsidRDefault="00855B30" w:rsidP="001D4D92">
            <w:pPr>
              <w:jc w:val="both"/>
              <w:rPr>
                <w:rFonts w:cs="Cambria"/>
                <w:b/>
                <w:lang w:val="en-US"/>
              </w:rPr>
            </w:pPr>
            <w:r w:rsidRPr="00136830">
              <w:rPr>
                <w:rFonts w:cs="Cambria"/>
                <w:b/>
                <w:lang w:val="en-US"/>
              </w:rPr>
              <w:t>OR</w:t>
            </w:r>
          </w:p>
        </w:tc>
        <w:tc>
          <w:tcPr>
            <w:tcW w:w="0" w:type="auto"/>
          </w:tcPr>
          <w:p w:rsidR="00A2293F" w:rsidRDefault="00855B30" w:rsidP="001D4D92">
            <w:pPr>
              <w:jc w:val="both"/>
              <w:rPr>
                <w:rFonts w:cs="Cambria"/>
                <w:b/>
                <w:lang w:val="en-US"/>
              </w:rPr>
            </w:pPr>
            <w:r w:rsidRPr="00136830">
              <w:rPr>
                <w:rFonts w:cs="Cambria"/>
                <w:b/>
                <w:lang w:val="en-US"/>
              </w:rPr>
              <w:t>95% CI</w:t>
            </w:r>
          </w:p>
        </w:tc>
      </w:tr>
      <w:tr w:rsidR="00855B30" w:rsidRPr="00136830" w:rsidTr="001A7B0A">
        <w:tc>
          <w:tcPr>
            <w:tcW w:w="0" w:type="auto"/>
            <w:vAlign w:val="center"/>
          </w:tcPr>
          <w:p w:rsidR="00A2293F" w:rsidRDefault="00855B30" w:rsidP="001D4D92">
            <w:pPr>
              <w:rPr>
                <w:rFonts w:cs="Cambria"/>
                <w:b/>
                <w:lang w:val="en-US"/>
              </w:rPr>
            </w:pPr>
            <w:r w:rsidRPr="00136830">
              <w:rPr>
                <w:rFonts w:cs="Cambria"/>
                <w:b/>
                <w:lang w:val="en-US"/>
              </w:rPr>
              <w:t>Patient-to-nurse ratio</w:t>
            </w:r>
          </w:p>
        </w:tc>
        <w:tc>
          <w:tcPr>
            <w:tcW w:w="0" w:type="auto"/>
          </w:tcPr>
          <w:p w:rsidR="00A2293F" w:rsidRDefault="00855B30" w:rsidP="001D4D92">
            <w:pPr>
              <w:jc w:val="both"/>
              <w:rPr>
                <w:rFonts w:cs="Cambria"/>
                <w:lang w:val="en-US"/>
              </w:rPr>
            </w:pPr>
            <w:r w:rsidRPr="00136830">
              <w:rPr>
                <w:rFonts w:cs="Cambria"/>
                <w:lang w:val="en-US"/>
              </w:rPr>
              <w:t>0.91</w:t>
            </w:r>
          </w:p>
        </w:tc>
        <w:tc>
          <w:tcPr>
            <w:tcW w:w="0" w:type="auto"/>
          </w:tcPr>
          <w:p w:rsidR="00A2293F" w:rsidRDefault="00855B30" w:rsidP="001D4D92">
            <w:pPr>
              <w:jc w:val="both"/>
              <w:rPr>
                <w:rFonts w:cs="Cambria"/>
                <w:lang w:val="en-US"/>
              </w:rPr>
            </w:pPr>
            <w:r w:rsidRPr="00136830">
              <w:rPr>
                <w:rFonts w:cs="Cambria"/>
                <w:lang w:val="en-US"/>
              </w:rPr>
              <w:t>(0.88 to 0.94)</w:t>
            </w:r>
          </w:p>
        </w:tc>
        <w:tc>
          <w:tcPr>
            <w:tcW w:w="0" w:type="auto"/>
          </w:tcPr>
          <w:p w:rsidR="00A2293F" w:rsidRDefault="00855B30" w:rsidP="001D4D92">
            <w:pPr>
              <w:jc w:val="both"/>
              <w:rPr>
                <w:rFonts w:cs="Cambria"/>
                <w:lang w:val="en-US"/>
              </w:rPr>
            </w:pPr>
            <w:r w:rsidRPr="00136830">
              <w:rPr>
                <w:rFonts w:cs="Cambria"/>
                <w:lang w:val="en-US"/>
              </w:rPr>
              <w:t>0.94</w:t>
            </w:r>
          </w:p>
        </w:tc>
        <w:tc>
          <w:tcPr>
            <w:tcW w:w="0" w:type="auto"/>
          </w:tcPr>
          <w:p w:rsidR="00A2293F" w:rsidRDefault="00855B30" w:rsidP="001D4D92">
            <w:r w:rsidRPr="00136830">
              <w:rPr>
                <w:rFonts w:cs="Cambria"/>
                <w:lang w:val="en-US"/>
              </w:rPr>
              <w:t>(0.91 to 0.97)</w:t>
            </w:r>
          </w:p>
        </w:tc>
        <w:tc>
          <w:tcPr>
            <w:tcW w:w="0" w:type="auto"/>
          </w:tcPr>
          <w:p w:rsidR="00A2293F" w:rsidRDefault="00855B30" w:rsidP="001D4D92">
            <w:pPr>
              <w:jc w:val="both"/>
              <w:rPr>
                <w:rFonts w:cs="Cambria"/>
                <w:lang w:val="en-US"/>
              </w:rPr>
            </w:pPr>
            <w:r w:rsidRPr="00136830">
              <w:rPr>
                <w:rFonts w:cs="Cambria"/>
                <w:lang w:val="en-US"/>
              </w:rPr>
              <w:t>0.90</w:t>
            </w:r>
          </w:p>
        </w:tc>
        <w:tc>
          <w:tcPr>
            <w:tcW w:w="0" w:type="auto"/>
          </w:tcPr>
          <w:p w:rsidR="00A2293F" w:rsidRDefault="00855B30" w:rsidP="001D4D92">
            <w:r w:rsidRPr="00136830">
              <w:rPr>
                <w:rFonts w:cs="Cambria"/>
                <w:lang w:val="en-US"/>
              </w:rPr>
              <w:t>(0.87 to 0.93)</w:t>
            </w:r>
          </w:p>
        </w:tc>
        <w:tc>
          <w:tcPr>
            <w:tcW w:w="0" w:type="auto"/>
          </w:tcPr>
          <w:p w:rsidR="00A2293F" w:rsidRDefault="00855B30" w:rsidP="001D4D92">
            <w:pPr>
              <w:rPr>
                <w:rFonts w:cs="Cambria"/>
                <w:lang w:val="en-US"/>
              </w:rPr>
            </w:pPr>
            <w:r w:rsidRPr="00136830">
              <w:rPr>
                <w:rFonts w:cs="Cambria"/>
                <w:lang w:val="en-US"/>
              </w:rPr>
              <w:t>0.95</w:t>
            </w:r>
          </w:p>
        </w:tc>
        <w:tc>
          <w:tcPr>
            <w:tcW w:w="0" w:type="auto"/>
          </w:tcPr>
          <w:p w:rsidR="00A2293F" w:rsidRDefault="00855B30" w:rsidP="001D4D92">
            <w:r w:rsidRPr="00136830">
              <w:rPr>
                <w:rFonts w:cs="Cambria"/>
                <w:lang w:val="en-US"/>
              </w:rPr>
              <w:t>(0.91 to 0.98)</w:t>
            </w:r>
          </w:p>
        </w:tc>
        <w:tc>
          <w:tcPr>
            <w:tcW w:w="0" w:type="auto"/>
          </w:tcPr>
          <w:p w:rsidR="00A2293F" w:rsidRDefault="00855B30" w:rsidP="001D4D92">
            <w:pPr>
              <w:rPr>
                <w:rFonts w:cs="Cambria"/>
                <w:lang w:val="en-US"/>
              </w:rPr>
            </w:pPr>
            <w:r w:rsidRPr="00136830">
              <w:rPr>
                <w:rFonts w:cs="Cambria"/>
                <w:lang w:val="en-US"/>
              </w:rPr>
              <w:t>0.98</w:t>
            </w:r>
          </w:p>
        </w:tc>
        <w:tc>
          <w:tcPr>
            <w:tcW w:w="0" w:type="auto"/>
          </w:tcPr>
          <w:p w:rsidR="00A2293F" w:rsidRDefault="00855B30" w:rsidP="001D4D92">
            <w:r w:rsidRPr="00136830">
              <w:rPr>
                <w:rFonts w:cs="Cambria"/>
                <w:lang w:val="en-US"/>
              </w:rPr>
              <w:t>(0.95 to 1.01)</w:t>
            </w:r>
          </w:p>
        </w:tc>
        <w:tc>
          <w:tcPr>
            <w:tcW w:w="0" w:type="auto"/>
          </w:tcPr>
          <w:p w:rsidR="00A2293F" w:rsidRDefault="00855B30" w:rsidP="001D4D92">
            <w:pPr>
              <w:rPr>
                <w:rFonts w:cs="Cambria"/>
                <w:lang w:val="en-US"/>
              </w:rPr>
            </w:pPr>
            <w:r w:rsidRPr="00136830">
              <w:rPr>
                <w:rFonts w:cs="Cambria"/>
                <w:lang w:val="en-US"/>
              </w:rPr>
              <w:t>0.99</w:t>
            </w:r>
          </w:p>
        </w:tc>
        <w:tc>
          <w:tcPr>
            <w:tcW w:w="0" w:type="auto"/>
          </w:tcPr>
          <w:p w:rsidR="00A2293F" w:rsidRDefault="00855B30" w:rsidP="001D4D92">
            <w:r w:rsidRPr="00136830">
              <w:rPr>
                <w:rFonts w:cs="Cambria"/>
                <w:lang w:val="en-US"/>
              </w:rPr>
              <w:t>(0.96 to 1.02)</w:t>
            </w:r>
          </w:p>
        </w:tc>
      </w:tr>
      <w:tr w:rsidR="00855B30" w:rsidRPr="00136830" w:rsidTr="001A7B0A">
        <w:tc>
          <w:tcPr>
            <w:tcW w:w="0" w:type="auto"/>
            <w:vAlign w:val="center"/>
          </w:tcPr>
          <w:p w:rsidR="00A2293F" w:rsidRDefault="00855B30" w:rsidP="001D4D92">
            <w:pPr>
              <w:rPr>
                <w:rFonts w:cs="Cambria"/>
                <w:b/>
                <w:lang w:val="en-US"/>
              </w:rPr>
            </w:pPr>
            <w:r w:rsidRPr="00136830">
              <w:rPr>
                <w:rFonts w:cs="Cambria"/>
                <w:b/>
                <w:lang w:val="en-US"/>
              </w:rPr>
              <w:t>Nurse work environment</w:t>
            </w:r>
          </w:p>
        </w:tc>
        <w:tc>
          <w:tcPr>
            <w:tcW w:w="0" w:type="auto"/>
          </w:tcPr>
          <w:p w:rsidR="00A2293F" w:rsidRDefault="00855B30" w:rsidP="001D4D92">
            <w:pPr>
              <w:jc w:val="both"/>
              <w:rPr>
                <w:rFonts w:cs="Cambria"/>
                <w:lang w:val="en-US"/>
              </w:rPr>
            </w:pPr>
            <w:r w:rsidRPr="00136830">
              <w:rPr>
                <w:rFonts w:cs="Cambria"/>
                <w:lang w:val="en-US"/>
              </w:rPr>
              <w:t>1.24</w:t>
            </w:r>
          </w:p>
        </w:tc>
        <w:tc>
          <w:tcPr>
            <w:tcW w:w="0" w:type="auto"/>
          </w:tcPr>
          <w:p w:rsidR="00A2293F" w:rsidRDefault="00855B30" w:rsidP="001D4D92">
            <w:r w:rsidRPr="00136830">
              <w:rPr>
                <w:rFonts w:cs="Cambria"/>
                <w:lang w:val="en-US"/>
              </w:rPr>
              <w:t>(1.11 to 1.38)</w:t>
            </w:r>
          </w:p>
        </w:tc>
        <w:tc>
          <w:tcPr>
            <w:tcW w:w="0" w:type="auto"/>
          </w:tcPr>
          <w:p w:rsidR="00A2293F" w:rsidRDefault="00855B30" w:rsidP="001D4D92">
            <w:pPr>
              <w:jc w:val="both"/>
              <w:rPr>
                <w:rFonts w:cs="Cambria"/>
                <w:lang w:val="en-US"/>
              </w:rPr>
            </w:pPr>
            <w:r w:rsidRPr="00136830">
              <w:rPr>
                <w:rFonts w:cs="Cambria"/>
                <w:lang w:val="en-US"/>
              </w:rPr>
              <w:t>1.16</w:t>
            </w:r>
          </w:p>
        </w:tc>
        <w:tc>
          <w:tcPr>
            <w:tcW w:w="0" w:type="auto"/>
          </w:tcPr>
          <w:p w:rsidR="00A2293F" w:rsidRDefault="00855B30" w:rsidP="001D4D92">
            <w:pPr>
              <w:rPr>
                <w:lang w:val="en-US"/>
              </w:rPr>
            </w:pPr>
            <w:r w:rsidRPr="00136830">
              <w:rPr>
                <w:rFonts w:cs="Cambria"/>
                <w:lang w:val="en-US"/>
              </w:rPr>
              <w:t>(1.03 to 1.32)</w:t>
            </w:r>
          </w:p>
        </w:tc>
        <w:tc>
          <w:tcPr>
            <w:tcW w:w="0" w:type="auto"/>
          </w:tcPr>
          <w:p w:rsidR="00A2293F" w:rsidRDefault="00855B30" w:rsidP="001D4D92">
            <w:pPr>
              <w:jc w:val="both"/>
              <w:rPr>
                <w:rFonts w:cs="Cambria"/>
                <w:lang w:val="en-US"/>
              </w:rPr>
            </w:pPr>
            <w:r w:rsidRPr="00136830">
              <w:rPr>
                <w:rFonts w:cs="Cambria"/>
                <w:lang w:val="en-US"/>
              </w:rPr>
              <w:t>1.41</w:t>
            </w:r>
          </w:p>
        </w:tc>
        <w:tc>
          <w:tcPr>
            <w:tcW w:w="0" w:type="auto"/>
          </w:tcPr>
          <w:p w:rsidR="00A2293F" w:rsidRDefault="00855B30" w:rsidP="001D4D92">
            <w:pPr>
              <w:rPr>
                <w:lang w:val="en-US"/>
              </w:rPr>
            </w:pPr>
            <w:r w:rsidRPr="00136830">
              <w:rPr>
                <w:rFonts w:cs="Cambria"/>
                <w:lang w:val="en-US"/>
              </w:rPr>
              <w:t>(1.22 to 1.62)</w:t>
            </w:r>
          </w:p>
        </w:tc>
        <w:tc>
          <w:tcPr>
            <w:tcW w:w="0" w:type="auto"/>
          </w:tcPr>
          <w:p w:rsidR="00A2293F" w:rsidRDefault="00855B30" w:rsidP="001D4D92">
            <w:pPr>
              <w:rPr>
                <w:rFonts w:cs="Cambria"/>
                <w:lang w:val="en-US"/>
              </w:rPr>
            </w:pPr>
            <w:r w:rsidRPr="00136830">
              <w:rPr>
                <w:rFonts w:cs="Cambria"/>
                <w:lang w:val="en-US"/>
              </w:rPr>
              <w:t>1.20</w:t>
            </w:r>
          </w:p>
        </w:tc>
        <w:tc>
          <w:tcPr>
            <w:tcW w:w="0" w:type="auto"/>
          </w:tcPr>
          <w:p w:rsidR="00A2293F" w:rsidRDefault="00855B30" w:rsidP="001D4D92">
            <w:pPr>
              <w:rPr>
                <w:lang w:val="en-US"/>
              </w:rPr>
            </w:pPr>
            <w:r w:rsidRPr="00136830">
              <w:rPr>
                <w:rFonts w:cs="Cambria"/>
                <w:lang w:val="en-US"/>
              </w:rPr>
              <w:t>(1.05 to 1.37)</w:t>
            </w:r>
          </w:p>
        </w:tc>
        <w:tc>
          <w:tcPr>
            <w:tcW w:w="0" w:type="auto"/>
          </w:tcPr>
          <w:p w:rsidR="00A2293F" w:rsidRDefault="00855B30" w:rsidP="001D4D92">
            <w:pPr>
              <w:rPr>
                <w:rFonts w:cs="Cambria"/>
                <w:lang w:val="en-US"/>
              </w:rPr>
            </w:pPr>
            <w:r w:rsidRPr="00136830">
              <w:rPr>
                <w:rFonts w:cs="Cambria"/>
                <w:lang w:val="en-US"/>
              </w:rPr>
              <w:t>1.05</w:t>
            </w:r>
          </w:p>
        </w:tc>
        <w:tc>
          <w:tcPr>
            <w:tcW w:w="0" w:type="auto"/>
          </w:tcPr>
          <w:p w:rsidR="00A2293F" w:rsidRDefault="00855B30" w:rsidP="001D4D92">
            <w:pPr>
              <w:rPr>
                <w:lang w:val="en-US"/>
              </w:rPr>
            </w:pPr>
            <w:r w:rsidRPr="00136830">
              <w:rPr>
                <w:rFonts w:cs="Cambria"/>
                <w:lang w:val="en-US"/>
              </w:rPr>
              <w:t>(0.93 to 1.19)</w:t>
            </w:r>
          </w:p>
        </w:tc>
        <w:tc>
          <w:tcPr>
            <w:tcW w:w="0" w:type="auto"/>
          </w:tcPr>
          <w:p w:rsidR="00A2293F" w:rsidRDefault="00855B30" w:rsidP="001D4D92">
            <w:pPr>
              <w:rPr>
                <w:rFonts w:cs="Cambria"/>
                <w:lang w:val="en-US"/>
              </w:rPr>
            </w:pPr>
            <w:r w:rsidRPr="00136830">
              <w:rPr>
                <w:rFonts w:cs="Cambria"/>
                <w:lang w:val="en-US"/>
              </w:rPr>
              <w:t>1.11</w:t>
            </w:r>
          </w:p>
        </w:tc>
        <w:tc>
          <w:tcPr>
            <w:tcW w:w="0" w:type="auto"/>
          </w:tcPr>
          <w:p w:rsidR="00A2293F" w:rsidRDefault="00855B30" w:rsidP="001D4D92">
            <w:pPr>
              <w:rPr>
                <w:lang w:val="en-US"/>
              </w:rPr>
            </w:pPr>
            <w:r w:rsidRPr="00136830">
              <w:rPr>
                <w:rFonts w:cs="Cambria"/>
                <w:lang w:val="en-US"/>
              </w:rPr>
              <w:t>(1.00 to 1.23)</w:t>
            </w:r>
          </w:p>
        </w:tc>
      </w:tr>
      <w:tr w:rsidR="00855B30" w:rsidRPr="00B93129" w:rsidTr="001A7B0A">
        <w:tc>
          <w:tcPr>
            <w:tcW w:w="0" w:type="auto"/>
            <w:vAlign w:val="center"/>
          </w:tcPr>
          <w:p w:rsidR="00A2293F" w:rsidRDefault="00855B30" w:rsidP="001D4D92">
            <w:pPr>
              <w:rPr>
                <w:rFonts w:cs="Cambria"/>
                <w:b/>
                <w:lang w:val="en-US"/>
              </w:rPr>
            </w:pPr>
            <w:r w:rsidRPr="00136830">
              <w:rPr>
                <w:rFonts w:cs="Cambria"/>
                <w:b/>
                <w:lang w:val="en-US"/>
              </w:rPr>
              <w:t>10-percent increase in nurses that</w:t>
            </w:r>
          </w:p>
        </w:tc>
        <w:tc>
          <w:tcPr>
            <w:tcW w:w="0" w:type="auto"/>
          </w:tcPr>
          <w:p w:rsidR="00A2293F" w:rsidRDefault="00A2293F" w:rsidP="001D4D92">
            <w:pPr>
              <w:jc w:val="both"/>
              <w:rPr>
                <w:rFonts w:cs="Cambria"/>
                <w:lang w:val="en-US"/>
              </w:rPr>
            </w:pPr>
          </w:p>
        </w:tc>
        <w:tc>
          <w:tcPr>
            <w:tcW w:w="0" w:type="auto"/>
          </w:tcPr>
          <w:p w:rsidR="00A2293F" w:rsidRDefault="00A2293F" w:rsidP="001D4D92">
            <w:pPr>
              <w:rPr>
                <w:lang w:val="en-US"/>
              </w:rPr>
            </w:pPr>
          </w:p>
        </w:tc>
        <w:tc>
          <w:tcPr>
            <w:tcW w:w="0" w:type="auto"/>
          </w:tcPr>
          <w:p w:rsidR="00A2293F" w:rsidRDefault="00A2293F" w:rsidP="001D4D92">
            <w:pPr>
              <w:jc w:val="both"/>
              <w:rPr>
                <w:rFonts w:cs="Cambria"/>
                <w:lang w:val="en-US"/>
              </w:rPr>
            </w:pPr>
          </w:p>
        </w:tc>
        <w:tc>
          <w:tcPr>
            <w:tcW w:w="0" w:type="auto"/>
          </w:tcPr>
          <w:p w:rsidR="00A2293F" w:rsidRDefault="00A2293F" w:rsidP="001D4D92">
            <w:pPr>
              <w:rPr>
                <w:lang w:val="en-US"/>
              </w:rPr>
            </w:pPr>
          </w:p>
        </w:tc>
        <w:tc>
          <w:tcPr>
            <w:tcW w:w="0" w:type="auto"/>
          </w:tcPr>
          <w:p w:rsidR="00A2293F" w:rsidRDefault="00A2293F" w:rsidP="001D4D92">
            <w:pPr>
              <w:jc w:val="both"/>
              <w:rPr>
                <w:rFonts w:cs="Cambria"/>
                <w:lang w:val="en-US"/>
              </w:rPr>
            </w:pPr>
          </w:p>
        </w:tc>
        <w:tc>
          <w:tcPr>
            <w:tcW w:w="0" w:type="auto"/>
          </w:tcPr>
          <w:p w:rsidR="00A2293F" w:rsidRDefault="00A2293F" w:rsidP="001D4D92">
            <w:pPr>
              <w:rPr>
                <w:lang w:val="en-US"/>
              </w:rPr>
            </w:pPr>
          </w:p>
        </w:tc>
        <w:tc>
          <w:tcPr>
            <w:tcW w:w="0" w:type="auto"/>
          </w:tcPr>
          <w:p w:rsidR="00A2293F" w:rsidRDefault="00A2293F" w:rsidP="001D4D92">
            <w:pPr>
              <w:rPr>
                <w:rFonts w:cs="Cambria"/>
                <w:lang w:val="en-US"/>
              </w:rPr>
            </w:pPr>
          </w:p>
        </w:tc>
        <w:tc>
          <w:tcPr>
            <w:tcW w:w="0" w:type="auto"/>
          </w:tcPr>
          <w:p w:rsidR="00A2293F" w:rsidRDefault="00A2293F" w:rsidP="001D4D92">
            <w:pPr>
              <w:rPr>
                <w:lang w:val="en-US"/>
              </w:rPr>
            </w:pPr>
          </w:p>
        </w:tc>
        <w:tc>
          <w:tcPr>
            <w:tcW w:w="0" w:type="auto"/>
          </w:tcPr>
          <w:p w:rsidR="00A2293F" w:rsidRDefault="00A2293F" w:rsidP="001D4D92">
            <w:pPr>
              <w:rPr>
                <w:rFonts w:cs="Cambria"/>
                <w:lang w:val="en-US"/>
              </w:rPr>
            </w:pPr>
          </w:p>
        </w:tc>
        <w:tc>
          <w:tcPr>
            <w:tcW w:w="0" w:type="auto"/>
          </w:tcPr>
          <w:p w:rsidR="00A2293F" w:rsidRDefault="00A2293F" w:rsidP="001D4D92">
            <w:pPr>
              <w:rPr>
                <w:lang w:val="en-US"/>
              </w:rPr>
            </w:pPr>
          </w:p>
        </w:tc>
        <w:tc>
          <w:tcPr>
            <w:tcW w:w="0" w:type="auto"/>
          </w:tcPr>
          <w:p w:rsidR="00A2293F" w:rsidRDefault="00A2293F" w:rsidP="001D4D92">
            <w:pPr>
              <w:rPr>
                <w:rFonts w:cs="Cambria"/>
                <w:lang w:val="en-US"/>
              </w:rPr>
            </w:pPr>
          </w:p>
        </w:tc>
        <w:tc>
          <w:tcPr>
            <w:tcW w:w="0" w:type="auto"/>
          </w:tcPr>
          <w:p w:rsidR="00A2293F" w:rsidRDefault="00A2293F" w:rsidP="001D4D92">
            <w:pPr>
              <w:rPr>
                <w:lang w:val="en-US"/>
              </w:rPr>
            </w:pPr>
          </w:p>
        </w:tc>
      </w:tr>
      <w:tr w:rsidR="00855B30" w:rsidRPr="00136830" w:rsidTr="001A7B0A">
        <w:tc>
          <w:tcPr>
            <w:tcW w:w="0" w:type="auto"/>
            <w:vAlign w:val="center"/>
          </w:tcPr>
          <w:p w:rsidR="00A2293F" w:rsidRDefault="00855B30" w:rsidP="001D4D92">
            <w:pPr>
              <w:pStyle w:val="Lijstalinea"/>
              <w:numPr>
                <w:ilvl w:val="0"/>
                <w:numId w:val="4"/>
              </w:numPr>
              <w:ind w:left="142" w:hanging="142"/>
              <w:rPr>
                <w:rFonts w:cs="Cambria"/>
                <w:b/>
              </w:rPr>
            </w:pPr>
            <w:r w:rsidRPr="00136830">
              <w:rPr>
                <w:rFonts w:cs="Cambria"/>
                <w:b/>
              </w:rPr>
              <w:t>Report hospital care is fair or poor</w:t>
            </w:r>
          </w:p>
        </w:tc>
        <w:tc>
          <w:tcPr>
            <w:tcW w:w="0" w:type="auto"/>
          </w:tcPr>
          <w:p w:rsidR="00A2293F" w:rsidRDefault="00855B30" w:rsidP="001D4D92">
            <w:pPr>
              <w:jc w:val="both"/>
              <w:rPr>
                <w:rFonts w:cs="Cambria"/>
                <w:lang w:val="en-US"/>
              </w:rPr>
            </w:pPr>
            <w:r w:rsidRPr="00136830">
              <w:rPr>
                <w:rFonts w:cs="Cambria"/>
                <w:lang w:val="en-US"/>
              </w:rPr>
              <w:t>0.83</w:t>
            </w:r>
          </w:p>
        </w:tc>
        <w:tc>
          <w:tcPr>
            <w:tcW w:w="0" w:type="auto"/>
          </w:tcPr>
          <w:p w:rsidR="00A2293F" w:rsidRDefault="00855B30" w:rsidP="001D4D92">
            <w:pPr>
              <w:rPr>
                <w:lang w:val="en-US"/>
              </w:rPr>
            </w:pPr>
            <w:r w:rsidRPr="00136830">
              <w:rPr>
                <w:rFonts w:cs="Cambria"/>
                <w:lang w:val="en-US"/>
              </w:rPr>
              <w:t>(0.80 to 0.87)</w:t>
            </w:r>
          </w:p>
        </w:tc>
        <w:tc>
          <w:tcPr>
            <w:tcW w:w="0" w:type="auto"/>
          </w:tcPr>
          <w:p w:rsidR="00A2293F" w:rsidRDefault="00855B30" w:rsidP="001D4D92">
            <w:pPr>
              <w:jc w:val="both"/>
              <w:rPr>
                <w:rFonts w:cs="Cambria"/>
                <w:lang w:val="en-US"/>
              </w:rPr>
            </w:pPr>
            <w:r w:rsidRPr="00136830">
              <w:rPr>
                <w:rFonts w:cs="Cambria"/>
                <w:lang w:val="en-US"/>
              </w:rPr>
              <w:t>0.88</w:t>
            </w:r>
          </w:p>
        </w:tc>
        <w:tc>
          <w:tcPr>
            <w:tcW w:w="0" w:type="auto"/>
          </w:tcPr>
          <w:p w:rsidR="00A2293F" w:rsidRDefault="00855B30" w:rsidP="001D4D92">
            <w:pPr>
              <w:rPr>
                <w:lang w:val="en-US"/>
              </w:rPr>
            </w:pPr>
            <w:r w:rsidRPr="00136830">
              <w:rPr>
                <w:rFonts w:cs="Cambria"/>
                <w:lang w:val="en-US"/>
              </w:rPr>
              <w:t>(0.84 to 0.92)</w:t>
            </w:r>
          </w:p>
        </w:tc>
        <w:tc>
          <w:tcPr>
            <w:tcW w:w="0" w:type="auto"/>
          </w:tcPr>
          <w:p w:rsidR="00A2293F" w:rsidRDefault="00855B30" w:rsidP="001D4D92">
            <w:pPr>
              <w:jc w:val="both"/>
              <w:rPr>
                <w:rFonts w:cs="Cambria"/>
                <w:lang w:val="en-US"/>
              </w:rPr>
            </w:pPr>
            <w:r w:rsidRPr="00136830">
              <w:rPr>
                <w:rFonts w:cs="Cambria"/>
                <w:lang w:val="en-US"/>
              </w:rPr>
              <w:t>0.85</w:t>
            </w:r>
          </w:p>
        </w:tc>
        <w:tc>
          <w:tcPr>
            <w:tcW w:w="0" w:type="auto"/>
          </w:tcPr>
          <w:p w:rsidR="00A2293F" w:rsidRDefault="00855B30" w:rsidP="001D4D92">
            <w:pPr>
              <w:rPr>
                <w:lang w:val="en-US"/>
              </w:rPr>
            </w:pPr>
            <w:r w:rsidRPr="00136830">
              <w:rPr>
                <w:rFonts w:cs="Cambria"/>
                <w:lang w:val="en-US"/>
              </w:rPr>
              <w:t>(0.80 to 0.89)</w:t>
            </w:r>
          </w:p>
        </w:tc>
        <w:tc>
          <w:tcPr>
            <w:tcW w:w="0" w:type="auto"/>
          </w:tcPr>
          <w:p w:rsidR="00A2293F" w:rsidRDefault="00855B30" w:rsidP="001D4D92">
            <w:pPr>
              <w:rPr>
                <w:rFonts w:cs="Cambria"/>
                <w:lang w:val="en-US"/>
              </w:rPr>
            </w:pPr>
            <w:r w:rsidRPr="00136830">
              <w:rPr>
                <w:rFonts w:cs="Cambria"/>
                <w:lang w:val="en-US"/>
              </w:rPr>
              <w:t>0.87</w:t>
            </w:r>
          </w:p>
        </w:tc>
        <w:tc>
          <w:tcPr>
            <w:tcW w:w="0" w:type="auto"/>
          </w:tcPr>
          <w:p w:rsidR="00A2293F" w:rsidRDefault="00855B30" w:rsidP="001D4D92">
            <w:pPr>
              <w:rPr>
                <w:lang w:val="en-US"/>
              </w:rPr>
            </w:pPr>
            <w:r w:rsidRPr="00136830">
              <w:rPr>
                <w:rFonts w:cs="Cambria"/>
                <w:lang w:val="en-US"/>
              </w:rPr>
              <w:t>(0.82 to 0.92)</w:t>
            </w:r>
          </w:p>
        </w:tc>
        <w:tc>
          <w:tcPr>
            <w:tcW w:w="0" w:type="auto"/>
          </w:tcPr>
          <w:p w:rsidR="00A2293F" w:rsidRDefault="00855B30" w:rsidP="001D4D92">
            <w:pPr>
              <w:rPr>
                <w:rFonts w:cs="Cambria"/>
                <w:lang w:val="en-US"/>
              </w:rPr>
            </w:pPr>
            <w:r w:rsidRPr="00136830">
              <w:rPr>
                <w:rFonts w:cs="Cambria"/>
                <w:lang w:val="en-US"/>
              </w:rPr>
              <w:t>0.93</w:t>
            </w:r>
          </w:p>
        </w:tc>
        <w:tc>
          <w:tcPr>
            <w:tcW w:w="0" w:type="auto"/>
          </w:tcPr>
          <w:p w:rsidR="00A2293F" w:rsidRDefault="00855B30" w:rsidP="001D4D92">
            <w:pPr>
              <w:rPr>
                <w:lang w:val="en-US"/>
              </w:rPr>
            </w:pPr>
            <w:r w:rsidRPr="00136830">
              <w:rPr>
                <w:rFonts w:cs="Cambria"/>
                <w:lang w:val="en-US"/>
              </w:rPr>
              <w:t>(0.88 to 0.97)</w:t>
            </w:r>
          </w:p>
        </w:tc>
        <w:tc>
          <w:tcPr>
            <w:tcW w:w="0" w:type="auto"/>
          </w:tcPr>
          <w:p w:rsidR="00A2293F" w:rsidRDefault="00855B30" w:rsidP="001D4D92">
            <w:pPr>
              <w:rPr>
                <w:rFonts w:cs="Cambria"/>
                <w:lang w:val="en-US"/>
              </w:rPr>
            </w:pPr>
            <w:r w:rsidRPr="00136830">
              <w:rPr>
                <w:rFonts w:cs="Cambria"/>
                <w:lang w:val="en-US"/>
              </w:rPr>
              <w:t>0.94</w:t>
            </w:r>
          </w:p>
        </w:tc>
        <w:tc>
          <w:tcPr>
            <w:tcW w:w="0" w:type="auto"/>
          </w:tcPr>
          <w:p w:rsidR="00A2293F" w:rsidRDefault="00855B30" w:rsidP="001D4D92">
            <w:pPr>
              <w:rPr>
                <w:lang w:val="en-US"/>
              </w:rPr>
            </w:pPr>
            <w:r w:rsidRPr="00136830">
              <w:rPr>
                <w:rFonts w:cs="Cambria"/>
                <w:lang w:val="en-US"/>
              </w:rPr>
              <w:t>(0.90 to 0.98)</w:t>
            </w:r>
          </w:p>
        </w:tc>
      </w:tr>
      <w:tr w:rsidR="00855B30" w:rsidRPr="00136830" w:rsidTr="001A7B0A">
        <w:tc>
          <w:tcPr>
            <w:tcW w:w="0" w:type="auto"/>
            <w:vAlign w:val="center"/>
          </w:tcPr>
          <w:p w:rsidR="00A2293F" w:rsidRDefault="00855B30" w:rsidP="001D4D92">
            <w:pPr>
              <w:pStyle w:val="Lijstalinea"/>
              <w:numPr>
                <w:ilvl w:val="0"/>
                <w:numId w:val="4"/>
              </w:numPr>
              <w:ind w:left="142" w:hanging="142"/>
              <w:rPr>
                <w:rFonts w:cs="Cambria"/>
                <w:b/>
              </w:rPr>
            </w:pPr>
            <w:r w:rsidRPr="00136830">
              <w:rPr>
                <w:rFonts w:cs="Cambria"/>
                <w:b/>
              </w:rPr>
              <w:t>Report poor/failing patient safety</w:t>
            </w:r>
          </w:p>
        </w:tc>
        <w:tc>
          <w:tcPr>
            <w:tcW w:w="0" w:type="auto"/>
          </w:tcPr>
          <w:p w:rsidR="00A2293F" w:rsidRDefault="00855B30" w:rsidP="001D4D92">
            <w:pPr>
              <w:jc w:val="both"/>
              <w:rPr>
                <w:rFonts w:cs="Cambria"/>
                <w:lang w:val="en-US"/>
              </w:rPr>
            </w:pPr>
            <w:r w:rsidRPr="00136830">
              <w:rPr>
                <w:rFonts w:cs="Cambria"/>
                <w:lang w:val="en-US"/>
              </w:rPr>
              <w:t>0.90</w:t>
            </w:r>
          </w:p>
        </w:tc>
        <w:tc>
          <w:tcPr>
            <w:tcW w:w="0" w:type="auto"/>
          </w:tcPr>
          <w:p w:rsidR="00A2293F" w:rsidRDefault="00855B30" w:rsidP="001D4D92">
            <w:pPr>
              <w:rPr>
                <w:lang w:val="en-US"/>
              </w:rPr>
            </w:pPr>
            <w:r w:rsidRPr="00136830">
              <w:rPr>
                <w:rFonts w:cs="Cambria"/>
                <w:lang w:val="en-US"/>
              </w:rPr>
              <w:t>(0.83 to 0.98)</w:t>
            </w:r>
          </w:p>
        </w:tc>
        <w:tc>
          <w:tcPr>
            <w:tcW w:w="0" w:type="auto"/>
          </w:tcPr>
          <w:p w:rsidR="00A2293F" w:rsidRDefault="00855B30" w:rsidP="001D4D92">
            <w:pPr>
              <w:jc w:val="both"/>
              <w:rPr>
                <w:rFonts w:cs="Cambria"/>
                <w:lang w:val="en-US"/>
              </w:rPr>
            </w:pPr>
            <w:r w:rsidRPr="00136830">
              <w:rPr>
                <w:rFonts w:cs="Cambria"/>
                <w:lang w:val="en-US"/>
              </w:rPr>
              <w:t>0.85</w:t>
            </w:r>
          </w:p>
        </w:tc>
        <w:tc>
          <w:tcPr>
            <w:tcW w:w="0" w:type="auto"/>
          </w:tcPr>
          <w:p w:rsidR="00A2293F" w:rsidRDefault="00855B30" w:rsidP="001D4D92">
            <w:pPr>
              <w:rPr>
                <w:lang w:val="en-US"/>
              </w:rPr>
            </w:pPr>
            <w:r w:rsidRPr="00136830">
              <w:rPr>
                <w:rFonts w:cs="Cambria"/>
                <w:lang w:val="en-US"/>
              </w:rPr>
              <w:t>(0.77 to 0.94)</w:t>
            </w:r>
          </w:p>
        </w:tc>
        <w:tc>
          <w:tcPr>
            <w:tcW w:w="0" w:type="auto"/>
          </w:tcPr>
          <w:p w:rsidR="00A2293F" w:rsidRDefault="00855B30" w:rsidP="001D4D92">
            <w:pPr>
              <w:jc w:val="both"/>
              <w:rPr>
                <w:rFonts w:cs="Cambria"/>
                <w:lang w:val="en-US"/>
              </w:rPr>
            </w:pPr>
            <w:r w:rsidRPr="00136830">
              <w:rPr>
                <w:rFonts w:cs="Cambria"/>
                <w:lang w:val="en-US"/>
              </w:rPr>
              <w:t>0.79</w:t>
            </w:r>
          </w:p>
        </w:tc>
        <w:tc>
          <w:tcPr>
            <w:tcW w:w="0" w:type="auto"/>
          </w:tcPr>
          <w:p w:rsidR="00A2293F" w:rsidRDefault="00855B30" w:rsidP="001D4D92">
            <w:pPr>
              <w:rPr>
                <w:lang w:val="en-US"/>
              </w:rPr>
            </w:pPr>
            <w:r w:rsidRPr="00136830">
              <w:rPr>
                <w:rFonts w:cs="Cambria"/>
                <w:lang w:val="en-US"/>
              </w:rPr>
              <w:t>(0.73 to 0.86)</w:t>
            </w:r>
          </w:p>
        </w:tc>
        <w:tc>
          <w:tcPr>
            <w:tcW w:w="0" w:type="auto"/>
          </w:tcPr>
          <w:p w:rsidR="00A2293F" w:rsidRDefault="00855B30" w:rsidP="001D4D92">
            <w:pPr>
              <w:rPr>
                <w:rFonts w:cs="Cambria"/>
                <w:lang w:val="en-US"/>
              </w:rPr>
            </w:pPr>
            <w:r w:rsidRPr="00136830">
              <w:rPr>
                <w:rFonts w:cs="Cambria"/>
                <w:lang w:val="en-US"/>
              </w:rPr>
              <w:t>0.85</w:t>
            </w:r>
          </w:p>
        </w:tc>
        <w:tc>
          <w:tcPr>
            <w:tcW w:w="0" w:type="auto"/>
          </w:tcPr>
          <w:p w:rsidR="00A2293F" w:rsidRDefault="00855B30" w:rsidP="001D4D92">
            <w:pPr>
              <w:rPr>
                <w:lang w:val="en-US"/>
              </w:rPr>
            </w:pPr>
            <w:r w:rsidRPr="00136830">
              <w:rPr>
                <w:rFonts w:cs="Cambria"/>
                <w:lang w:val="en-US"/>
              </w:rPr>
              <w:t>(0.76 to 0.94)</w:t>
            </w:r>
          </w:p>
        </w:tc>
        <w:tc>
          <w:tcPr>
            <w:tcW w:w="0" w:type="auto"/>
          </w:tcPr>
          <w:p w:rsidR="00A2293F" w:rsidRDefault="00855B30" w:rsidP="001D4D92">
            <w:pPr>
              <w:rPr>
                <w:rFonts w:cs="Cambria"/>
                <w:lang w:val="en-US"/>
              </w:rPr>
            </w:pPr>
            <w:r w:rsidRPr="00136830">
              <w:rPr>
                <w:rFonts w:cs="Cambria"/>
                <w:lang w:val="en-US"/>
              </w:rPr>
              <w:t>1.06</w:t>
            </w:r>
          </w:p>
        </w:tc>
        <w:tc>
          <w:tcPr>
            <w:tcW w:w="0" w:type="auto"/>
          </w:tcPr>
          <w:p w:rsidR="00A2293F" w:rsidRDefault="00855B30" w:rsidP="001D4D92">
            <w:pPr>
              <w:rPr>
                <w:lang w:val="en-US"/>
              </w:rPr>
            </w:pPr>
            <w:r w:rsidRPr="00136830">
              <w:rPr>
                <w:rFonts w:cs="Cambria"/>
                <w:lang w:val="en-US"/>
              </w:rPr>
              <w:t>(0.99 to 1.13)</w:t>
            </w:r>
          </w:p>
        </w:tc>
        <w:tc>
          <w:tcPr>
            <w:tcW w:w="0" w:type="auto"/>
          </w:tcPr>
          <w:p w:rsidR="00A2293F" w:rsidRDefault="00855B30" w:rsidP="001D4D92">
            <w:pPr>
              <w:rPr>
                <w:rFonts w:cs="Cambria"/>
                <w:lang w:val="en-US"/>
              </w:rPr>
            </w:pPr>
            <w:r w:rsidRPr="00136830">
              <w:rPr>
                <w:rFonts w:cs="Cambria"/>
                <w:lang w:val="en-US"/>
              </w:rPr>
              <w:t>0.93</w:t>
            </w:r>
          </w:p>
        </w:tc>
        <w:tc>
          <w:tcPr>
            <w:tcW w:w="0" w:type="auto"/>
          </w:tcPr>
          <w:p w:rsidR="00A2293F" w:rsidRDefault="00855B30" w:rsidP="001D4D92">
            <w:pPr>
              <w:rPr>
                <w:lang w:val="en-US"/>
              </w:rPr>
            </w:pPr>
            <w:r w:rsidRPr="00136830">
              <w:rPr>
                <w:rFonts w:cs="Cambria"/>
                <w:lang w:val="en-US"/>
              </w:rPr>
              <w:t>(0.87 to 0.99)</w:t>
            </w:r>
          </w:p>
        </w:tc>
      </w:tr>
      <w:tr w:rsidR="00855B30" w:rsidRPr="00136830" w:rsidTr="001A7B0A">
        <w:tc>
          <w:tcPr>
            <w:tcW w:w="0" w:type="auto"/>
            <w:vAlign w:val="center"/>
          </w:tcPr>
          <w:p w:rsidR="00A2293F" w:rsidRDefault="00855B30" w:rsidP="001D4D92">
            <w:pPr>
              <w:pStyle w:val="Lijstalinea"/>
              <w:numPr>
                <w:ilvl w:val="0"/>
                <w:numId w:val="4"/>
              </w:numPr>
              <w:ind w:left="142" w:hanging="142"/>
              <w:rPr>
                <w:rFonts w:cs="Cambria"/>
                <w:b/>
              </w:rPr>
            </w:pPr>
            <w:r w:rsidRPr="00136830">
              <w:rPr>
                <w:rFonts w:cs="Cambria"/>
                <w:b/>
              </w:rPr>
              <w:t>Have high burnout</w:t>
            </w:r>
          </w:p>
        </w:tc>
        <w:tc>
          <w:tcPr>
            <w:tcW w:w="0" w:type="auto"/>
          </w:tcPr>
          <w:p w:rsidR="00A2293F" w:rsidRDefault="00855B30" w:rsidP="001D4D92">
            <w:pPr>
              <w:jc w:val="both"/>
              <w:rPr>
                <w:rFonts w:cs="Cambria"/>
                <w:lang w:val="en-US"/>
              </w:rPr>
            </w:pPr>
            <w:r w:rsidRPr="00136830">
              <w:rPr>
                <w:rFonts w:cs="Cambria"/>
                <w:lang w:val="en-US"/>
              </w:rPr>
              <w:t>0.92</w:t>
            </w:r>
          </w:p>
        </w:tc>
        <w:tc>
          <w:tcPr>
            <w:tcW w:w="0" w:type="auto"/>
          </w:tcPr>
          <w:p w:rsidR="00A2293F" w:rsidRDefault="00855B30" w:rsidP="001D4D92">
            <w:pPr>
              <w:rPr>
                <w:lang w:val="en-US"/>
              </w:rPr>
            </w:pPr>
            <w:r w:rsidRPr="00136830">
              <w:rPr>
                <w:rFonts w:cs="Cambria"/>
                <w:lang w:val="en-US"/>
              </w:rPr>
              <w:t>(0.89 to 0.96)</w:t>
            </w:r>
          </w:p>
        </w:tc>
        <w:tc>
          <w:tcPr>
            <w:tcW w:w="0" w:type="auto"/>
          </w:tcPr>
          <w:p w:rsidR="00A2293F" w:rsidRDefault="00855B30" w:rsidP="001D4D92">
            <w:pPr>
              <w:jc w:val="both"/>
              <w:rPr>
                <w:rFonts w:cs="Cambria"/>
                <w:lang w:val="en-US"/>
              </w:rPr>
            </w:pPr>
            <w:r w:rsidRPr="00136830">
              <w:rPr>
                <w:rFonts w:cs="Cambria"/>
                <w:lang w:val="en-US"/>
              </w:rPr>
              <w:t>0.93</w:t>
            </w:r>
          </w:p>
        </w:tc>
        <w:tc>
          <w:tcPr>
            <w:tcW w:w="0" w:type="auto"/>
          </w:tcPr>
          <w:p w:rsidR="00A2293F" w:rsidRDefault="00855B30" w:rsidP="001D4D92">
            <w:pPr>
              <w:rPr>
                <w:lang w:val="en-US"/>
              </w:rPr>
            </w:pPr>
            <w:r w:rsidRPr="00136830">
              <w:rPr>
                <w:rFonts w:cs="Cambria"/>
                <w:lang w:val="en-US"/>
              </w:rPr>
              <w:t>(0.88 to 0.97)</w:t>
            </w:r>
          </w:p>
        </w:tc>
        <w:tc>
          <w:tcPr>
            <w:tcW w:w="0" w:type="auto"/>
          </w:tcPr>
          <w:p w:rsidR="00A2293F" w:rsidRDefault="00855B30" w:rsidP="001D4D92">
            <w:pPr>
              <w:jc w:val="both"/>
              <w:rPr>
                <w:rFonts w:cs="Cambria"/>
                <w:lang w:val="en-US"/>
              </w:rPr>
            </w:pPr>
            <w:r w:rsidRPr="00136830">
              <w:rPr>
                <w:rFonts w:cs="Cambria"/>
                <w:lang w:val="en-US"/>
              </w:rPr>
              <w:t>0.89</w:t>
            </w:r>
          </w:p>
        </w:tc>
        <w:tc>
          <w:tcPr>
            <w:tcW w:w="0" w:type="auto"/>
          </w:tcPr>
          <w:p w:rsidR="00A2293F" w:rsidRDefault="00855B30" w:rsidP="001D4D92">
            <w:pPr>
              <w:rPr>
                <w:lang w:val="en-US"/>
              </w:rPr>
            </w:pPr>
            <w:r w:rsidRPr="00136830">
              <w:rPr>
                <w:rFonts w:cs="Cambria"/>
                <w:lang w:val="en-US"/>
              </w:rPr>
              <w:t>(0.85 to 0.94)</w:t>
            </w:r>
          </w:p>
        </w:tc>
        <w:tc>
          <w:tcPr>
            <w:tcW w:w="0" w:type="auto"/>
          </w:tcPr>
          <w:p w:rsidR="00A2293F" w:rsidRDefault="00855B30" w:rsidP="001D4D92">
            <w:pPr>
              <w:rPr>
                <w:rFonts w:cs="Cambria"/>
                <w:lang w:val="en-US"/>
              </w:rPr>
            </w:pPr>
            <w:r w:rsidRPr="00136830">
              <w:rPr>
                <w:rFonts w:cs="Cambria"/>
                <w:lang w:val="en-US"/>
              </w:rPr>
              <w:t>0.94</w:t>
            </w:r>
          </w:p>
        </w:tc>
        <w:tc>
          <w:tcPr>
            <w:tcW w:w="0" w:type="auto"/>
          </w:tcPr>
          <w:p w:rsidR="00A2293F" w:rsidRDefault="00855B30" w:rsidP="001D4D92">
            <w:pPr>
              <w:rPr>
                <w:lang w:val="en-US"/>
              </w:rPr>
            </w:pPr>
            <w:r w:rsidRPr="00136830">
              <w:rPr>
                <w:rFonts w:cs="Cambria"/>
                <w:lang w:val="en-US"/>
              </w:rPr>
              <w:t>(0.89 to 1.00)</w:t>
            </w:r>
          </w:p>
        </w:tc>
        <w:tc>
          <w:tcPr>
            <w:tcW w:w="0" w:type="auto"/>
          </w:tcPr>
          <w:p w:rsidR="00A2293F" w:rsidRDefault="00855B30" w:rsidP="001D4D92">
            <w:pPr>
              <w:rPr>
                <w:rFonts w:cs="Cambria"/>
                <w:lang w:val="en-US"/>
              </w:rPr>
            </w:pPr>
            <w:r w:rsidRPr="00136830">
              <w:rPr>
                <w:rFonts w:cs="Cambria"/>
                <w:lang w:val="en-US"/>
              </w:rPr>
              <w:t>0.97</w:t>
            </w:r>
          </w:p>
        </w:tc>
        <w:tc>
          <w:tcPr>
            <w:tcW w:w="0" w:type="auto"/>
          </w:tcPr>
          <w:p w:rsidR="00A2293F" w:rsidRDefault="00855B30" w:rsidP="001D4D92">
            <w:pPr>
              <w:rPr>
                <w:lang w:val="en-US"/>
              </w:rPr>
            </w:pPr>
            <w:r w:rsidRPr="00136830">
              <w:rPr>
                <w:rFonts w:cs="Cambria"/>
                <w:lang w:val="en-US"/>
              </w:rPr>
              <w:t>(0.93 to 1.01)</w:t>
            </w:r>
          </w:p>
        </w:tc>
        <w:tc>
          <w:tcPr>
            <w:tcW w:w="0" w:type="auto"/>
          </w:tcPr>
          <w:p w:rsidR="00A2293F" w:rsidRDefault="00855B30" w:rsidP="001D4D92">
            <w:pPr>
              <w:rPr>
                <w:rFonts w:cs="Cambria"/>
                <w:lang w:val="en-US"/>
              </w:rPr>
            </w:pPr>
            <w:r w:rsidRPr="00136830">
              <w:rPr>
                <w:rFonts w:cs="Cambria"/>
                <w:lang w:val="en-US"/>
              </w:rPr>
              <w:t>0.95</w:t>
            </w:r>
          </w:p>
        </w:tc>
        <w:tc>
          <w:tcPr>
            <w:tcW w:w="0" w:type="auto"/>
          </w:tcPr>
          <w:p w:rsidR="00A2293F" w:rsidRDefault="00855B30" w:rsidP="001D4D92">
            <w:pPr>
              <w:rPr>
                <w:lang w:val="en-US"/>
              </w:rPr>
            </w:pPr>
            <w:r w:rsidRPr="00136830">
              <w:rPr>
                <w:rFonts w:cs="Cambria"/>
                <w:lang w:val="en-US"/>
              </w:rPr>
              <w:t>(0.91 to 1.00)</w:t>
            </w:r>
          </w:p>
        </w:tc>
      </w:tr>
      <w:tr w:rsidR="00855B30" w:rsidRPr="00136830" w:rsidTr="001A7B0A">
        <w:tc>
          <w:tcPr>
            <w:tcW w:w="0" w:type="auto"/>
            <w:vAlign w:val="center"/>
          </w:tcPr>
          <w:p w:rsidR="00A2293F" w:rsidRDefault="00855B30" w:rsidP="001D4D92">
            <w:pPr>
              <w:pStyle w:val="Lijstalinea"/>
              <w:numPr>
                <w:ilvl w:val="0"/>
                <w:numId w:val="4"/>
              </w:numPr>
              <w:ind w:left="142" w:hanging="142"/>
              <w:rPr>
                <w:rFonts w:cs="Cambria"/>
                <w:b/>
              </w:rPr>
            </w:pPr>
            <w:r w:rsidRPr="00136830">
              <w:rPr>
                <w:rFonts w:cs="Cambria"/>
                <w:b/>
              </w:rPr>
              <w:t>Are dissatisfied with their job</w:t>
            </w:r>
          </w:p>
        </w:tc>
        <w:tc>
          <w:tcPr>
            <w:tcW w:w="0" w:type="auto"/>
          </w:tcPr>
          <w:p w:rsidR="00A2293F" w:rsidRDefault="00855B30" w:rsidP="001D4D92">
            <w:pPr>
              <w:jc w:val="both"/>
              <w:rPr>
                <w:rFonts w:cs="Cambria"/>
                <w:lang w:val="en-US"/>
              </w:rPr>
            </w:pPr>
            <w:r w:rsidRPr="00136830">
              <w:rPr>
                <w:rFonts w:cs="Cambria"/>
                <w:lang w:val="en-US"/>
              </w:rPr>
              <w:t>0.90</w:t>
            </w:r>
          </w:p>
        </w:tc>
        <w:tc>
          <w:tcPr>
            <w:tcW w:w="0" w:type="auto"/>
          </w:tcPr>
          <w:p w:rsidR="00A2293F" w:rsidRDefault="00855B30" w:rsidP="001D4D92">
            <w:pPr>
              <w:rPr>
                <w:lang w:val="en-US"/>
              </w:rPr>
            </w:pPr>
            <w:r w:rsidRPr="00136830">
              <w:rPr>
                <w:rFonts w:cs="Cambria"/>
                <w:lang w:val="en-US"/>
              </w:rPr>
              <w:t>(0.86 to 0.94)</w:t>
            </w:r>
          </w:p>
        </w:tc>
        <w:tc>
          <w:tcPr>
            <w:tcW w:w="0" w:type="auto"/>
          </w:tcPr>
          <w:p w:rsidR="00A2293F" w:rsidRDefault="00855B30" w:rsidP="001D4D92">
            <w:pPr>
              <w:jc w:val="both"/>
              <w:rPr>
                <w:rFonts w:cs="Cambria"/>
                <w:lang w:val="en-US"/>
              </w:rPr>
            </w:pPr>
            <w:r w:rsidRPr="00136830">
              <w:rPr>
                <w:rFonts w:cs="Cambria"/>
                <w:lang w:val="en-US"/>
              </w:rPr>
              <w:t>0.92</w:t>
            </w:r>
          </w:p>
        </w:tc>
        <w:tc>
          <w:tcPr>
            <w:tcW w:w="0" w:type="auto"/>
          </w:tcPr>
          <w:p w:rsidR="00A2293F" w:rsidRDefault="00855B30" w:rsidP="001D4D92">
            <w:pPr>
              <w:rPr>
                <w:lang w:val="en-US"/>
              </w:rPr>
            </w:pPr>
            <w:r w:rsidRPr="00136830">
              <w:rPr>
                <w:rFonts w:cs="Cambria"/>
                <w:lang w:val="en-US"/>
              </w:rPr>
              <w:t>(0.87 to 0.96)</w:t>
            </w:r>
          </w:p>
        </w:tc>
        <w:tc>
          <w:tcPr>
            <w:tcW w:w="0" w:type="auto"/>
          </w:tcPr>
          <w:p w:rsidR="00A2293F" w:rsidRDefault="00855B30" w:rsidP="001D4D92">
            <w:pPr>
              <w:jc w:val="both"/>
              <w:rPr>
                <w:rFonts w:cs="Cambria"/>
                <w:lang w:val="en-US"/>
              </w:rPr>
            </w:pPr>
            <w:r w:rsidRPr="00136830">
              <w:rPr>
                <w:rFonts w:cs="Cambria"/>
                <w:lang w:val="en-US"/>
              </w:rPr>
              <w:t>0.91</w:t>
            </w:r>
          </w:p>
        </w:tc>
        <w:tc>
          <w:tcPr>
            <w:tcW w:w="0" w:type="auto"/>
          </w:tcPr>
          <w:p w:rsidR="00A2293F" w:rsidRDefault="00855B30" w:rsidP="001D4D92">
            <w:pPr>
              <w:rPr>
                <w:lang w:val="en-US"/>
              </w:rPr>
            </w:pPr>
            <w:r w:rsidRPr="00136830">
              <w:rPr>
                <w:rFonts w:cs="Cambria"/>
                <w:lang w:val="en-US"/>
              </w:rPr>
              <w:t>(0.86 to 0.97)</w:t>
            </w:r>
          </w:p>
        </w:tc>
        <w:tc>
          <w:tcPr>
            <w:tcW w:w="0" w:type="auto"/>
          </w:tcPr>
          <w:p w:rsidR="00A2293F" w:rsidRDefault="00855B30" w:rsidP="001D4D92">
            <w:pPr>
              <w:rPr>
                <w:lang w:val="en-US"/>
              </w:rPr>
            </w:pPr>
            <w:r w:rsidRPr="00136830">
              <w:rPr>
                <w:lang w:val="en-US"/>
              </w:rPr>
              <w:t>0.91</w:t>
            </w:r>
          </w:p>
        </w:tc>
        <w:tc>
          <w:tcPr>
            <w:tcW w:w="0" w:type="auto"/>
          </w:tcPr>
          <w:p w:rsidR="00A2293F" w:rsidRDefault="00855B30" w:rsidP="001D4D92">
            <w:pPr>
              <w:rPr>
                <w:lang w:val="en-US"/>
              </w:rPr>
            </w:pPr>
            <w:r w:rsidRPr="00136830">
              <w:rPr>
                <w:rFonts w:cs="Cambria"/>
                <w:lang w:val="en-US"/>
              </w:rPr>
              <w:t>(0.87 to 0.96)</w:t>
            </w:r>
          </w:p>
        </w:tc>
        <w:tc>
          <w:tcPr>
            <w:tcW w:w="0" w:type="auto"/>
          </w:tcPr>
          <w:p w:rsidR="00A2293F" w:rsidRDefault="00855B30" w:rsidP="001D4D92">
            <w:pPr>
              <w:rPr>
                <w:rFonts w:cs="Cambria"/>
                <w:lang w:val="en-US"/>
              </w:rPr>
            </w:pPr>
            <w:r w:rsidRPr="00136830">
              <w:rPr>
                <w:rFonts w:cs="Cambria"/>
                <w:lang w:val="en-US"/>
              </w:rPr>
              <w:t>0.92</w:t>
            </w:r>
          </w:p>
        </w:tc>
        <w:tc>
          <w:tcPr>
            <w:tcW w:w="0" w:type="auto"/>
          </w:tcPr>
          <w:p w:rsidR="00A2293F" w:rsidRDefault="00855B30" w:rsidP="001D4D92">
            <w:pPr>
              <w:rPr>
                <w:lang w:val="en-US"/>
              </w:rPr>
            </w:pPr>
            <w:r w:rsidRPr="00136830">
              <w:rPr>
                <w:rFonts w:cs="Cambria"/>
                <w:lang w:val="en-US"/>
              </w:rPr>
              <w:t>(0.88 to 0.96)</w:t>
            </w:r>
          </w:p>
        </w:tc>
        <w:tc>
          <w:tcPr>
            <w:tcW w:w="0" w:type="auto"/>
          </w:tcPr>
          <w:p w:rsidR="00A2293F" w:rsidRDefault="00855B30" w:rsidP="001D4D92">
            <w:pPr>
              <w:rPr>
                <w:rFonts w:cs="Cambria"/>
                <w:lang w:val="en-US"/>
              </w:rPr>
            </w:pPr>
            <w:r w:rsidRPr="00136830">
              <w:rPr>
                <w:rFonts w:cs="Cambria"/>
                <w:lang w:val="en-US"/>
              </w:rPr>
              <w:t>0.95</w:t>
            </w:r>
          </w:p>
        </w:tc>
        <w:tc>
          <w:tcPr>
            <w:tcW w:w="0" w:type="auto"/>
          </w:tcPr>
          <w:p w:rsidR="00A2293F" w:rsidRDefault="00855B30" w:rsidP="001D4D92">
            <w:pPr>
              <w:rPr>
                <w:lang w:val="en-US"/>
              </w:rPr>
            </w:pPr>
            <w:r w:rsidRPr="00136830">
              <w:rPr>
                <w:rFonts w:cs="Cambria"/>
                <w:lang w:val="en-US"/>
              </w:rPr>
              <w:t>(0.91 to 0.98)</w:t>
            </w:r>
          </w:p>
        </w:tc>
      </w:tr>
      <w:tr w:rsidR="00855B30" w:rsidRPr="00136830" w:rsidTr="001A7B0A">
        <w:tc>
          <w:tcPr>
            <w:tcW w:w="0" w:type="auto"/>
            <w:vAlign w:val="center"/>
          </w:tcPr>
          <w:p w:rsidR="00A2293F" w:rsidRDefault="00855B30" w:rsidP="001D4D92">
            <w:pPr>
              <w:pStyle w:val="Lijstalinea"/>
              <w:numPr>
                <w:ilvl w:val="0"/>
                <w:numId w:val="4"/>
              </w:numPr>
              <w:ind w:left="142" w:hanging="142"/>
              <w:rPr>
                <w:rFonts w:cs="Cambria"/>
                <w:b/>
              </w:rPr>
            </w:pPr>
            <w:r w:rsidRPr="00136830">
              <w:rPr>
                <w:rFonts w:cs="Cambria"/>
                <w:b/>
              </w:rPr>
              <w:t xml:space="preserve">Intend to </w:t>
            </w:r>
            <w:r w:rsidRPr="00136830">
              <w:rPr>
                <w:rFonts w:cs="Cambria"/>
                <w:b/>
              </w:rPr>
              <w:lastRenderedPageBreak/>
              <w:t>leave</w:t>
            </w:r>
          </w:p>
        </w:tc>
        <w:tc>
          <w:tcPr>
            <w:tcW w:w="0" w:type="auto"/>
          </w:tcPr>
          <w:p w:rsidR="00A2293F" w:rsidRDefault="00855B30" w:rsidP="001D4D92">
            <w:pPr>
              <w:jc w:val="both"/>
              <w:rPr>
                <w:rFonts w:cs="Cambria"/>
                <w:lang w:val="en-US"/>
              </w:rPr>
            </w:pPr>
            <w:r w:rsidRPr="00136830">
              <w:rPr>
                <w:rFonts w:cs="Cambria"/>
                <w:lang w:val="en-US"/>
              </w:rPr>
              <w:lastRenderedPageBreak/>
              <w:t>0.98</w:t>
            </w:r>
          </w:p>
        </w:tc>
        <w:tc>
          <w:tcPr>
            <w:tcW w:w="0" w:type="auto"/>
          </w:tcPr>
          <w:p w:rsidR="00A2293F" w:rsidRDefault="00855B30" w:rsidP="001D4D92">
            <w:pPr>
              <w:rPr>
                <w:lang w:val="en-US"/>
              </w:rPr>
            </w:pPr>
            <w:r w:rsidRPr="00136830">
              <w:rPr>
                <w:rFonts w:cs="Cambria"/>
                <w:lang w:val="en-US"/>
              </w:rPr>
              <w:t xml:space="preserve">(0.93 </w:t>
            </w:r>
            <w:r w:rsidRPr="00136830">
              <w:rPr>
                <w:rFonts w:cs="Cambria"/>
                <w:lang w:val="en-US"/>
              </w:rPr>
              <w:lastRenderedPageBreak/>
              <w:t>to 1.04)</w:t>
            </w:r>
          </w:p>
        </w:tc>
        <w:tc>
          <w:tcPr>
            <w:tcW w:w="0" w:type="auto"/>
          </w:tcPr>
          <w:p w:rsidR="00A2293F" w:rsidRDefault="00855B30" w:rsidP="001D4D92">
            <w:pPr>
              <w:rPr>
                <w:lang w:val="en-US"/>
              </w:rPr>
            </w:pPr>
            <w:r w:rsidRPr="00136830">
              <w:rPr>
                <w:lang w:val="en-US"/>
              </w:rPr>
              <w:lastRenderedPageBreak/>
              <w:t>0.91</w:t>
            </w:r>
          </w:p>
        </w:tc>
        <w:tc>
          <w:tcPr>
            <w:tcW w:w="0" w:type="auto"/>
          </w:tcPr>
          <w:p w:rsidR="00A2293F" w:rsidRDefault="00855B30" w:rsidP="001D4D92">
            <w:pPr>
              <w:rPr>
                <w:lang w:val="en-US"/>
              </w:rPr>
            </w:pPr>
            <w:r w:rsidRPr="00136830">
              <w:rPr>
                <w:rFonts w:cs="Cambria"/>
                <w:lang w:val="en-US"/>
              </w:rPr>
              <w:t xml:space="preserve">(0.85 </w:t>
            </w:r>
            <w:r w:rsidRPr="00136830">
              <w:rPr>
                <w:rFonts w:cs="Cambria"/>
                <w:lang w:val="en-US"/>
              </w:rPr>
              <w:lastRenderedPageBreak/>
              <w:t>to 0.98)</w:t>
            </w:r>
          </w:p>
        </w:tc>
        <w:tc>
          <w:tcPr>
            <w:tcW w:w="0" w:type="auto"/>
          </w:tcPr>
          <w:p w:rsidR="00A2293F" w:rsidRDefault="00855B30" w:rsidP="001D4D92">
            <w:pPr>
              <w:jc w:val="both"/>
              <w:rPr>
                <w:rFonts w:cs="Cambria"/>
                <w:lang w:val="en-US"/>
              </w:rPr>
            </w:pPr>
            <w:r w:rsidRPr="00136830">
              <w:rPr>
                <w:rFonts w:cs="Cambria"/>
                <w:lang w:val="en-US"/>
              </w:rPr>
              <w:lastRenderedPageBreak/>
              <w:t>0.93</w:t>
            </w:r>
          </w:p>
        </w:tc>
        <w:tc>
          <w:tcPr>
            <w:tcW w:w="0" w:type="auto"/>
          </w:tcPr>
          <w:p w:rsidR="00A2293F" w:rsidRDefault="00855B30" w:rsidP="001D4D92">
            <w:pPr>
              <w:rPr>
                <w:lang w:val="en-US"/>
              </w:rPr>
            </w:pPr>
            <w:r w:rsidRPr="00136830">
              <w:rPr>
                <w:rFonts w:cs="Cambria"/>
                <w:lang w:val="en-US"/>
              </w:rPr>
              <w:t xml:space="preserve">(0.87 </w:t>
            </w:r>
            <w:r w:rsidRPr="00136830">
              <w:rPr>
                <w:rFonts w:cs="Cambria"/>
                <w:lang w:val="en-US"/>
              </w:rPr>
              <w:lastRenderedPageBreak/>
              <w:t>to 0.98)</w:t>
            </w:r>
          </w:p>
        </w:tc>
        <w:tc>
          <w:tcPr>
            <w:tcW w:w="0" w:type="auto"/>
          </w:tcPr>
          <w:p w:rsidR="00A2293F" w:rsidRDefault="00855B30" w:rsidP="001D4D92">
            <w:pPr>
              <w:rPr>
                <w:lang w:val="en-US"/>
              </w:rPr>
            </w:pPr>
            <w:r w:rsidRPr="00136830">
              <w:rPr>
                <w:lang w:val="en-US"/>
              </w:rPr>
              <w:lastRenderedPageBreak/>
              <w:t>0.92</w:t>
            </w:r>
          </w:p>
        </w:tc>
        <w:tc>
          <w:tcPr>
            <w:tcW w:w="0" w:type="auto"/>
          </w:tcPr>
          <w:p w:rsidR="00A2293F" w:rsidRDefault="00855B30" w:rsidP="001D4D92">
            <w:pPr>
              <w:rPr>
                <w:lang w:val="en-US"/>
              </w:rPr>
            </w:pPr>
            <w:r w:rsidRPr="00136830">
              <w:rPr>
                <w:rFonts w:cs="Cambria"/>
                <w:lang w:val="en-US"/>
              </w:rPr>
              <w:t xml:space="preserve">(0.86 </w:t>
            </w:r>
            <w:r w:rsidRPr="00136830">
              <w:rPr>
                <w:rFonts w:cs="Cambria"/>
                <w:lang w:val="en-US"/>
              </w:rPr>
              <w:lastRenderedPageBreak/>
              <w:t>to 0.98)</w:t>
            </w:r>
          </w:p>
        </w:tc>
        <w:tc>
          <w:tcPr>
            <w:tcW w:w="0" w:type="auto"/>
          </w:tcPr>
          <w:p w:rsidR="00A2293F" w:rsidRDefault="00855B30" w:rsidP="001D4D92">
            <w:pPr>
              <w:rPr>
                <w:rFonts w:cs="Cambria"/>
                <w:lang w:val="en-US"/>
              </w:rPr>
            </w:pPr>
            <w:r w:rsidRPr="00136830">
              <w:rPr>
                <w:rFonts w:cs="Cambria"/>
                <w:lang w:val="en-US"/>
              </w:rPr>
              <w:lastRenderedPageBreak/>
              <w:t>0.95</w:t>
            </w:r>
          </w:p>
        </w:tc>
        <w:tc>
          <w:tcPr>
            <w:tcW w:w="0" w:type="auto"/>
          </w:tcPr>
          <w:p w:rsidR="00A2293F" w:rsidRDefault="00855B30" w:rsidP="001D4D92">
            <w:pPr>
              <w:rPr>
                <w:lang w:val="en-US"/>
              </w:rPr>
            </w:pPr>
            <w:r w:rsidRPr="00136830">
              <w:rPr>
                <w:rFonts w:cs="Cambria"/>
                <w:lang w:val="en-US"/>
              </w:rPr>
              <w:t xml:space="preserve">(0.91 </w:t>
            </w:r>
            <w:r w:rsidRPr="00136830">
              <w:rPr>
                <w:rFonts w:cs="Cambria"/>
                <w:lang w:val="en-US"/>
              </w:rPr>
              <w:lastRenderedPageBreak/>
              <w:t>to 1.00)</w:t>
            </w:r>
          </w:p>
        </w:tc>
        <w:tc>
          <w:tcPr>
            <w:tcW w:w="0" w:type="auto"/>
          </w:tcPr>
          <w:p w:rsidR="00A2293F" w:rsidRDefault="00855B30" w:rsidP="001D4D92">
            <w:pPr>
              <w:rPr>
                <w:rFonts w:cs="Cambria"/>
                <w:lang w:val="en-US"/>
              </w:rPr>
            </w:pPr>
            <w:r w:rsidRPr="00136830">
              <w:rPr>
                <w:rFonts w:cs="Cambria"/>
                <w:lang w:val="en-US"/>
              </w:rPr>
              <w:lastRenderedPageBreak/>
              <w:t>0.95</w:t>
            </w:r>
          </w:p>
        </w:tc>
        <w:tc>
          <w:tcPr>
            <w:tcW w:w="0" w:type="auto"/>
          </w:tcPr>
          <w:p w:rsidR="00A2293F" w:rsidRDefault="00855B30" w:rsidP="001D4D92">
            <w:pPr>
              <w:rPr>
                <w:lang w:val="en-US"/>
              </w:rPr>
            </w:pPr>
            <w:r w:rsidRPr="00136830">
              <w:rPr>
                <w:rFonts w:cs="Cambria"/>
                <w:lang w:val="en-US"/>
              </w:rPr>
              <w:t xml:space="preserve">(0.91 </w:t>
            </w:r>
            <w:r w:rsidRPr="00136830">
              <w:rPr>
                <w:rFonts w:cs="Cambria"/>
                <w:lang w:val="en-US"/>
              </w:rPr>
              <w:lastRenderedPageBreak/>
              <w:t>to 0.99)</w:t>
            </w:r>
          </w:p>
        </w:tc>
      </w:tr>
      <w:tr w:rsidR="00855B30" w:rsidRPr="00136830" w:rsidTr="001A7B0A">
        <w:tc>
          <w:tcPr>
            <w:tcW w:w="0" w:type="auto"/>
            <w:vAlign w:val="center"/>
          </w:tcPr>
          <w:p w:rsidR="00A2293F" w:rsidRDefault="00855B30" w:rsidP="001D4D92">
            <w:pPr>
              <w:pStyle w:val="Lijstalinea"/>
              <w:numPr>
                <w:ilvl w:val="0"/>
                <w:numId w:val="4"/>
              </w:numPr>
              <w:ind w:left="142" w:hanging="142"/>
              <w:rPr>
                <w:rFonts w:cs="Cambria"/>
                <w:b/>
              </w:rPr>
            </w:pPr>
            <w:r w:rsidRPr="00136830">
              <w:rPr>
                <w:rFonts w:cs="Cambria"/>
                <w:b/>
              </w:rPr>
              <w:lastRenderedPageBreak/>
              <w:t>Lack confidence in management</w:t>
            </w:r>
          </w:p>
        </w:tc>
        <w:tc>
          <w:tcPr>
            <w:tcW w:w="0" w:type="auto"/>
          </w:tcPr>
          <w:p w:rsidR="00A2293F" w:rsidRDefault="00855B30" w:rsidP="001D4D92">
            <w:pPr>
              <w:jc w:val="both"/>
              <w:rPr>
                <w:rFonts w:cs="Cambria"/>
                <w:lang w:val="en-US"/>
              </w:rPr>
            </w:pPr>
            <w:r w:rsidRPr="00136830">
              <w:rPr>
                <w:rFonts w:cs="Cambria"/>
                <w:lang w:val="en-US"/>
              </w:rPr>
              <w:t>0.97</w:t>
            </w:r>
          </w:p>
        </w:tc>
        <w:tc>
          <w:tcPr>
            <w:tcW w:w="0" w:type="auto"/>
          </w:tcPr>
          <w:p w:rsidR="00A2293F" w:rsidRDefault="00855B30" w:rsidP="001D4D92">
            <w:pPr>
              <w:rPr>
                <w:lang w:val="en-US"/>
              </w:rPr>
            </w:pPr>
            <w:r w:rsidRPr="00136830">
              <w:rPr>
                <w:rFonts w:cs="Cambria"/>
                <w:lang w:val="en-US"/>
              </w:rPr>
              <w:t>(0.92 to 1.02)</w:t>
            </w:r>
          </w:p>
        </w:tc>
        <w:tc>
          <w:tcPr>
            <w:tcW w:w="0" w:type="auto"/>
          </w:tcPr>
          <w:p w:rsidR="00A2293F" w:rsidRDefault="00855B30" w:rsidP="001D4D92">
            <w:pPr>
              <w:rPr>
                <w:lang w:val="en-US"/>
              </w:rPr>
            </w:pPr>
            <w:r w:rsidRPr="00136830">
              <w:rPr>
                <w:lang w:val="en-US"/>
              </w:rPr>
              <w:t>0.96</w:t>
            </w:r>
          </w:p>
        </w:tc>
        <w:tc>
          <w:tcPr>
            <w:tcW w:w="0" w:type="auto"/>
          </w:tcPr>
          <w:p w:rsidR="00A2293F" w:rsidRDefault="00855B30" w:rsidP="001D4D92">
            <w:pPr>
              <w:rPr>
                <w:lang w:val="en-US"/>
              </w:rPr>
            </w:pPr>
            <w:r w:rsidRPr="00136830">
              <w:rPr>
                <w:rFonts w:cs="Cambria"/>
                <w:lang w:val="en-US"/>
              </w:rPr>
              <w:t>(0.90 to 1.02)</w:t>
            </w:r>
          </w:p>
        </w:tc>
        <w:tc>
          <w:tcPr>
            <w:tcW w:w="0" w:type="auto"/>
          </w:tcPr>
          <w:p w:rsidR="00A2293F" w:rsidRDefault="00855B30" w:rsidP="001D4D92">
            <w:pPr>
              <w:jc w:val="both"/>
              <w:rPr>
                <w:rFonts w:cs="Cambria"/>
                <w:lang w:val="en-US"/>
              </w:rPr>
            </w:pPr>
            <w:r w:rsidRPr="00136830">
              <w:rPr>
                <w:rFonts w:cs="Cambria"/>
                <w:lang w:val="en-US"/>
              </w:rPr>
              <w:t>0.91</w:t>
            </w:r>
          </w:p>
        </w:tc>
        <w:tc>
          <w:tcPr>
            <w:tcW w:w="0" w:type="auto"/>
          </w:tcPr>
          <w:p w:rsidR="00A2293F" w:rsidRDefault="00855B30" w:rsidP="001D4D92">
            <w:pPr>
              <w:rPr>
                <w:lang w:val="en-US"/>
              </w:rPr>
            </w:pPr>
            <w:r w:rsidRPr="00136830">
              <w:rPr>
                <w:rFonts w:cs="Cambria"/>
                <w:lang w:val="en-US"/>
              </w:rPr>
              <w:t>(0.85 to 0.97)</w:t>
            </w:r>
          </w:p>
        </w:tc>
        <w:tc>
          <w:tcPr>
            <w:tcW w:w="0" w:type="auto"/>
          </w:tcPr>
          <w:p w:rsidR="00A2293F" w:rsidRDefault="00855B30" w:rsidP="001D4D92">
            <w:pPr>
              <w:rPr>
                <w:lang w:val="en-US"/>
              </w:rPr>
            </w:pPr>
            <w:r w:rsidRPr="00136830">
              <w:rPr>
                <w:lang w:val="en-US"/>
              </w:rPr>
              <w:t>0.95</w:t>
            </w:r>
          </w:p>
        </w:tc>
        <w:tc>
          <w:tcPr>
            <w:tcW w:w="0" w:type="auto"/>
          </w:tcPr>
          <w:p w:rsidR="00A2293F" w:rsidRDefault="00855B30" w:rsidP="001D4D92">
            <w:pPr>
              <w:rPr>
                <w:lang w:val="en-US"/>
              </w:rPr>
            </w:pPr>
            <w:r w:rsidRPr="00136830">
              <w:rPr>
                <w:rFonts w:cs="Cambria"/>
                <w:lang w:val="en-US"/>
              </w:rPr>
              <w:t>(0.89 to 1.01)</w:t>
            </w:r>
          </w:p>
        </w:tc>
        <w:tc>
          <w:tcPr>
            <w:tcW w:w="0" w:type="auto"/>
          </w:tcPr>
          <w:p w:rsidR="00A2293F" w:rsidRDefault="00855B30" w:rsidP="001D4D92">
            <w:pPr>
              <w:rPr>
                <w:rFonts w:cs="Cambria"/>
                <w:lang w:val="en-US"/>
              </w:rPr>
            </w:pPr>
            <w:r w:rsidRPr="00136830">
              <w:rPr>
                <w:rFonts w:cs="Cambria"/>
                <w:lang w:val="en-US"/>
              </w:rPr>
              <w:t>0.99</w:t>
            </w:r>
          </w:p>
        </w:tc>
        <w:tc>
          <w:tcPr>
            <w:tcW w:w="0" w:type="auto"/>
          </w:tcPr>
          <w:p w:rsidR="00A2293F" w:rsidRDefault="00855B30" w:rsidP="001D4D92">
            <w:pPr>
              <w:rPr>
                <w:lang w:val="en-US"/>
              </w:rPr>
            </w:pPr>
            <w:r w:rsidRPr="00136830">
              <w:rPr>
                <w:rFonts w:cs="Cambria"/>
                <w:lang w:val="en-US"/>
              </w:rPr>
              <w:t>(0.93 to 1.05)</w:t>
            </w:r>
          </w:p>
        </w:tc>
        <w:tc>
          <w:tcPr>
            <w:tcW w:w="0" w:type="auto"/>
          </w:tcPr>
          <w:p w:rsidR="00A2293F" w:rsidRDefault="00855B30" w:rsidP="001D4D92">
            <w:pPr>
              <w:rPr>
                <w:rFonts w:cs="Cambria"/>
                <w:lang w:val="en-US"/>
              </w:rPr>
            </w:pPr>
            <w:r w:rsidRPr="00136830">
              <w:rPr>
                <w:rFonts w:cs="Cambria"/>
                <w:lang w:val="en-US"/>
              </w:rPr>
              <w:t>0.95</w:t>
            </w:r>
          </w:p>
        </w:tc>
        <w:tc>
          <w:tcPr>
            <w:tcW w:w="0" w:type="auto"/>
          </w:tcPr>
          <w:p w:rsidR="00A2293F" w:rsidRDefault="00855B30" w:rsidP="001D4D92">
            <w:pPr>
              <w:rPr>
                <w:lang w:val="en-US"/>
              </w:rPr>
            </w:pPr>
            <w:r w:rsidRPr="00136830">
              <w:rPr>
                <w:rFonts w:cs="Cambria"/>
                <w:lang w:val="en-US"/>
              </w:rPr>
              <w:t>(0.90 to 0.99)</w:t>
            </w:r>
          </w:p>
        </w:tc>
      </w:tr>
      <w:tr w:rsidR="00855B30" w:rsidRPr="00136830" w:rsidTr="001A7B0A">
        <w:tc>
          <w:tcPr>
            <w:tcW w:w="0" w:type="auto"/>
            <w:vAlign w:val="center"/>
          </w:tcPr>
          <w:p w:rsidR="00A2293F" w:rsidRDefault="00855B30" w:rsidP="001D4D92">
            <w:pPr>
              <w:pStyle w:val="Lijstalinea"/>
              <w:numPr>
                <w:ilvl w:val="0"/>
                <w:numId w:val="4"/>
              </w:numPr>
              <w:ind w:left="142" w:hanging="142"/>
              <w:rPr>
                <w:rFonts w:cs="Cambria"/>
                <w:b/>
              </w:rPr>
            </w:pPr>
            <w:r w:rsidRPr="00136830">
              <w:rPr>
                <w:rFonts w:cs="Cambria"/>
                <w:b/>
              </w:rPr>
              <w:t>Lack confidence that patients can manage their own care</w:t>
            </w:r>
          </w:p>
        </w:tc>
        <w:tc>
          <w:tcPr>
            <w:tcW w:w="0" w:type="auto"/>
          </w:tcPr>
          <w:p w:rsidR="00A2293F" w:rsidRDefault="00855B30" w:rsidP="001D4D92">
            <w:pPr>
              <w:jc w:val="both"/>
              <w:rPr>
                <w:rFonts w:cs="Cambria"/>
                <w:lang w:val="en-US"/>
              </w:rPr>
            </w:pPr>
            <w:r w:rsidRPr="00136830">
              <w:rPr>
                <w:rFonts w:cs="Cambria"/>
                <w:lang w:val="en-US"/>
              </w:rPr>
              <w:t>0.93</w:t>
            </w:r>
          </w:p>
        </w:tc>
        <w:tc>
          <w:tcPr>
            <w:tcW w:w="0" w:type="auto"/>
          </w:tcPr>
          <w:p w:rsidR="00A2293F" w:rsidRDefault="00855B30" w:rsidP="001D4D92">
            <w:pPr>
              <w:rPr>
                <w:lang w:val="en-US"/>
              </w:rPr>
            </w:pPr>
            <w:r w:rsidRPr="00136830">
              <w:rPr>
                <w:rFonts w:cs="Cambria"/>
                <w:lang w:val="en-US"/>
              </w:rPr>
              <w:t>(0.89 to 0.97)</w:t>
            </w:r>
          </w:p>
        </w:tc>
        <w:tc>
          <w:tcPr>
            <w:tcW w:w="0" w:type="auto"/>
          </w:tcPr>
          <w:p w:rsidR="00A2293F" w:rsidRDefault="00855B30" w:rsidP="001D4D92">
            <w:pPr>
              <w:rPr>
                <w:lang w:val="en-US"/>
              </w:rPr>
            </w:pPr>
            <w:r w:rsidRPr="00136830">
              <w:rPr>
                <w:lang w:val="en-US"/>
              </w:rPr>
              <w:t>0.91</w:t>
            </w:r>
          </w:p>
        </w:tc>
        <w:tc>
          <w:tcPr>
            <w:tcW w:w="0" w:type="auto"/>
          </w:tcPr>
          <w:p w:rsidR="00A2293F" w:rsidRDefault="00855B30" w:rsidP="001D4D92">
            <w:pPr>
              <w:rPr>
                <w:lang w:val="en-US"/>
              </w:rPr>
            </w:pPr>
            <w:r w:rsidRPr="00136830">
              <w:rPr>
                <w:rFonts w:cs="Cambria"/>
                <w:lang w:val="en-US"/>
              </w:rPr>
              <w:t>(0.85 to 0.97)</w:t>
            </w:r>
          </w:p>
        </w:tc>
        <w:tc>
          <w:tcPr>
            <w:tcW w:w="0" w:type="auto"/>
          </w:tcPr>
          <w:p w:rsidR="00A2293F" w:rsidRDefault="00855B30" w:rsidP="001D4D92">
            <w:pPr>
              <w:jc w:val="both"/>
              <w:rPr>
                <w:rFonts w:cs="Cambria"/>
                <w:lang w:val="en-US"/>
              </w:rPr>
            </w:pPr>
            <w:r w:rsidRPr="00136830">
              <w:rPr>
                <w:rFonts w:cs="Cambria"/>
                <w:lang w:val="en-US"/>
              </w:rPr>
              <w:t>0.86</w:t>
            </w:r>
          </w:p>
        </w:tc>
        <w:tc>
          <w:tcPr>
            <w:tcW w:w="0" w:type="auto"/>
          </w:tcPr>
          <w:p w:rsidR="00A2293F" w:rsidRDefault="00855B30" w:rsidP="001D4D92">
            <w:pPr>
              <w:rPr>
                <w:lang w:val="en-US"/>
              </w:rPr>
            </w:pPr>
            <w:r w:rsidRPr="00136830">
              <w:rPr>
                <w:rFonts w:cs="Cambria"/>
                <w:lang w:val="en-US"/>
              </w:rPr>
              <w:t>(0.82 to 0.89)</w:t>
            </w:r>
          </w:p>
        </w:tc>
        <w:tc>
          <w:tcPr>
            <w:tcW w:w="0" w:type="auto"/>
          </w:tcPr>
          <w:p w:rsidR="00A2293F" w:rsidRDefault="00855B30" w:rsidP="001D4D92">
            <w:pPr>
              <w:rPr>
                <w:lang w:val="en-US"/>
              </w:rPr>
            </w:pPr>
            <w:r w:rsidRPr="00136830">
              <w:rPr>
                <w:lang w:val="en-US"/>
              </w:rPr>
              <w:t>0.91</w:t>
            </w:r>
          </w:p>
        </w:tc>
        <w:tc>
          <w:tcPr>
            <w:tcW w:w="0" w:type="auto"/>
          </w:tcPr>
          <w:p w:rsidR="00A2293F" w:rsidRDefault="00855B30" w:rsidP="001D4D92">
            <w:pPr>
              <w:rPr>
                <w:lang w:val="en-US"/>
              </w:rPr>
            </w:pPr>
            <w:r w:rsidRPr="00136830">
              <w:rPr>
                <w:rFonts w:cs="Cambria"/>
                <w:lang w:val="en-US"/>
              </w:rPr>
              <w:t>(0.86 to 0.98)</w:t>
            </w:r>
          </w:p>
        </w:tc>
        <w:tc>
          <w:tcPr>
            <w:tcW w:w="0" w:type="auto"/>
          </w:tcPr>
          <w:p w:rsidR="00A2293F" w:rsidRDefault="00855B30" w:rsidP="001D4D92">
            <w:pPr>
              <w:rPr>
                <w:rFonts w:cs="Cambria"/>
                <w:lang w:val="en-US"/>
              </w:rPr>
            </w:pPr>
            <w:r w:rsidRPr="00136830">
              <w:rPr>
                <w:rFonts w:cs="Cambria"/>
                <w:lang w:val="en-US"/>
              </w:rPr>
              <w:t>1.03</w:t>
            </w:r>
          </w:p>
        </w:tc>
        <w:tc>
          <w:tcPr>
            <w:tcW w:w="0" w:type="auto"/>
          </w:tcPr>
          <w:p w:rsidR="00A2293F" w:rsidRDefault="00855B30" w:rsidP="001D4D92">
            <w:pPr>
              <w:rPr>
                <w:lang w:val="en-US"/>
              </w:rPr>
            </w:pPr>
            <w:r w:rsidRPr="00136830">
              <w:rPr>
                <w:rFonts w:cs="Cambria"/>
                <w:lang w:val="en-US"/>
              </w:rPr>
              <w:t>(0.98 to 1.07)</w:t>
            </w:r>
          </w:p>
        </w:tc>
        <w:tc>
          <w:tcPr>
            <w:tcW w:w="0" w:type="auto"/>
          </w:tcPr>
          <w:p w:rsidR="00A2293F" w:rsidRDefault="00855B30" w:rsidP="001D4D92">
            <w:pPr>
              <w:rPr>
                <w:rFonts w:cs="Cambria"/>
                <w:lang w:val="en-US"/>
              </w:rPr>
            </w:pPr>
            <w:r w:rsidRPr="00136830">
              <w:rPr>
                <w:rFonts w:cs="Cambria"/>
                <w:lang w:val="en-US"/>
              </w:rPr>
              <w:t>0.92</w:t>
            </w:r>
          </w:p>
        </w:tc>
        <w:tc>
          <w:tcPr>
            <w:tcW w:w="0" w:type="auto"/>
          </w:tcPr>
          <w:p w:rsidR="00A2293F" w:rsidRDefault="00855B30" w:rsidP="001D4D92">
            <w:pPr>
              <w:rPr>
                <w:lang w:val="en-US"/>
              </w:rPr>
            </w:pPr>
            <w:r w:rsidRPr="00136830">
              <w:rPr>
                <w:rFonts w:cs="Cambria"/>
                <w:lang w:val="en-US"/>
              </w:rPr>
              <w:t>(0.87 to 0.97)</w:t>
            </w:r>
          </w:p>
        </w:tc>
      </w:tr>
    </w:tbl>
    <w:p w:rsidR="00A2293F" w:rsidRDefault="00A2293F" w:rsidP="00A749DD">
      <w:pPr>
        <w:shd w:val="clear" w:color="auto" w:fill="FFFFFF"/>
        <w:spacing w:after="0" w:line="480" w:lineRule="auto"/>
        <w:jc w:val="both"/>
        <w:rPr>
          <w:lang w:val="en-US"/>
        </w:rPr>
      </w:pPr>
    </w:p>
    <w:p w:rsidR="00592CE4" w:rsidRDefault="00592CE4" w:rsidP="00592CE4">
      <w:pPr>
        <w:spacing w:line="480" w:lineRule="auto"/>
        <w:jc w:val="both"/>
        <w:rPr>
          <w:lang w:val="en-US"/>
        </w:rPr>
      </w:pPr>
      <w:r>
        <w:rPr>
          <w:lang w:val="en-US"/>
        </w:rPr>
        <w:t>In conclusion, f</w:t>
      </w:r>
      <w:r w:rsidRPr="00136830">
        <w:rPr>
          <w:lang w:val="en-US"/>
        </w:rPr>
        <w:t xml:space="preserve">indings suggest that all sampled countries, representing differently organized and financed national health care systems, have hospital quality, safety, and staff retention problems associated with </w:t>
      </w:r>
      <w:r w:rsidRPr="00136830">
        <w:rPr>
          <w:rFonts w:cs="Cambria"/>
          <w:lang w:val="en-US" w:eastAsia="nl-BE"/>
        </w:rPr>
        <w:t>organizational features of nursing care</w:t>
      </w:r>
      <w:r w:rsidRPr="00136830">
        <w:rPr>
          <w:lang w:val="en-US"/>
        </w:rPr>
        <w:t xml:space="preserve">. </w:t>
      </w:r>
      <w:r w:rsidRPr="00136830">
        <w:rPr>
          <w:rFonts w:cs="Cambria"/>
          <w:lang w:val="en-US" w:eastAsia="nl-BE"/>
        </w:rPr>
        <w:t xml:space="preserve">In all countries, nurse staffing and the quality of the hospital work environment were significantly associated with patient satisfaction, quality and safety of care, and measures of nurse wellbeing. That is, hospitals with superior work environments and better nurse staffing had better outcomes for patients and nurses alike. Preliminary analyses show similar findings for the relationship between organizational features of nursing care and patient mortality. </w:t>
      </w:r>
      <w:r w:rsidRPr="00136830">
        <w:rPr>
          <w:lang w:val="en-US" w:eastAsia="nl-BE"/>
        </w:rPr>
        <w:t xml:space="preserve">Patients’ ratings of hospitals are similar to nurses’ ratings, and whether patients rate their hospital as excellent and whether patients would recommend their hospital to others is associated significantly with nurses’ ratings of their hospital work environment and their reports of nurse staffing. A general failure of hospital management is suggested by the majority of nurses in every country reporting a lack of confidence that hospital management will solve identified patient care problems. Management’s skepticism that nurses’ complaints about care quality reflect objective clinical observations might need to be tempered by our findings showing that nurses’ assessments concur with those made independently by patients. </w:t>
      </w:r>
      <w:r w:rsidRPr="00136830">
        <w:rPr>
          <w:rFonts w:cs="Cambria"/>
          <w:lang w:val="en-US" w:eastAsia="nl-BE"/>
        </w:rPr>
        <w:t xml:space="preserve">In hospitals with high patient-to-nurse ratios, poor work environments, and lower proportions of nurses educated at the bachelor level, patients experience higher mortality rates. </w:t>
      </w:r>
      <w:r w:rsidRPr="00136830">
        <w:rPr>
          <w:lang w:val="en-US" w:eastAsia="nl-BE"/>
        </w:rPr>
        <w:t xml:space="preserve">Differences in quality of care assessments were noted among countries. Nurses’ ratings of quality and job satisfaction is worst in Greece, whose health system has </w:t>
      </w:r>
      <w:r w:rsidRPr="00136830">
        <w:rPr>
          <w:lang w:val="en-US" w:eastAsia="nl-BE"/>
        </w:rPr>
        <w:lastRenderedPageBreak/>
        <w:t xml:space="preserve">been experiencing severe economic difficulties and where there have been widespread protests about the government’s austerity measures. There have also been austerity protests in Spain, which ranks third worst on quality. Germany, ranking second worst, has not faced protests but nursing workload is believed to have increased following the introduction of case-based payment. At the other end of the spectrum, nurses in Ireland and Finland report high levels of quality, although both countries have also suffered considerable economic downturns, while the performance of Norway’s well-resourced health system is where one might expect it to be. There is no clear association </w:t>
      </w:r>
      <w:r w:rsidR="004D2C31">
        <w:rPr>
          <w:lang w:val="en-US" w:eastAsia="nl-BE"/>
        </w:rPr>
        <w:t>between</w:t>
      </w:r>
      <w:r w:rsidR="004D2C31" w:rsidRPr="00136830">
        <w:rPr>
          <w:lang w:val="en-US" w:eastAsia="nl-BE"/>
        </w:rPr>
        <w:t xml:space="preserve"> </w:t>
      </w:r>
      <w:r w:rsidRPr="00136830">
        <w:rPr>
          <w:lang w:val="en-US" w:eastAsia="nl-BE"/>
        </w:rPr>
        <w:t>the views of nurses and patients with several plausible country-level correlates, such as nurses per capita or health expenditure as a percentage of Gross Domestic Product. Perhaps these national-level indicators do not reflect differences in hospital-level investments that our study suggests impact quality, such as better work environments and nurse staffing. The United States, for example, has fewer nurses per capita than most Organization for Economic Co-operation and Development (OECD) countries</w:t>
      </w:r>
      <w:r w:rsidR="00373DA9">
        <w:rPr>
          <w:lang w:val="en-US" w:eastAsia="nl-BE"/>
        </w:rPr>
        <w:t>, but</w:t>
      </w:r>
      <w:r w:rsidRPr="00136830">
        <w:rPr>
          <w:lang w:val="en-US" w:eastAsia="nl-BE"/>
        </w:rPr>
        <w:t xml:space="preserve"> comparatively more nurses per hospitalized patient. Several high-profile initiatives have occurred in the United States recently with regard to achieving safe nurse staffing and improved work environments. Over 20 states in the United States have enacted or are considering nurse staffing legislation </w:t>
      </w:r>
      <w:r w:rsidR="00D02A7E">
        <w:rPr>
          <w:lang w:val="en-US" w:eastAsia="nl-BE"/>
        </w:rPr>
        <w:t>[13]</w:t>
      </w:r>
      <w:r w:rsidRPr="00136830">
        <w:rPr>
          <w:lang w:val="en-US" w:eastAsia="nl-BE"/>
        </w:rPr>
        <w:t xml:space="preserve">, and Magnet accreditation promoting improved work environments has grown to almost 400 of hospitals (7% of total). Similar activity is less apparent in Europe. One National Health Service trust in England achieved Magnet status in the past but management was not supportive of retaining its designation </w:t>
      </w:r>
      <w:r w:rsidR="00485D77">
        <w:rPr>
          <w:lang w:val="en-US" w:eastAsia="nl-BE"/>
        </w:rPr>
        <w:t>[14]</w:t>
      </w:r>
      <w:r w:rsidRPr="00136830">
        <w:rPr>
          <w:lang w:val="en-US" w:eastAsia="nl-BE"/>
        </w:rPr>
        <w:t>. Magnet accreditation is international with recognized hospitals in Australia, New Zealand, and Singapore, among others but there is not a single Magnet hospital in Europe or the equivalent recognition of nursing excellence.</w:t>
      </w:r>
      <w:r w:rsidRPr="00136830">
        <w:rPr>
          <w:lang w:val="en-US" w:eastAsia="nl-BE"/>
        </w:rPr>
        <w:tab/>
      </w:r>
      <w:r w:rsidRPr="00136830">
        <w:rPr>
          <w:lang w:val="en-US" w:eastAsia="nl-BE"/>
        </w:rPr>
        <w:br/>
        <w:t xml:space="preserve">Preliminary analysis shows that nurse staffing and education is associated with in-hospital 30-day patient mortality. In the coming months, this relationship will be further investigated. </w:t>
      </w:r>
      <w:r w:rsidRPr="00136830">
        <w:rPr>
          <w:rFonts w:cs="Cambria"/>
          <w:lang w:val="en-US" w:eastAsia="nl-BE"/>
        </w:rPr>
        <w:t>Our findings thus support the conclusion reached by the World Alliance for Patient Safety that organizational behaviors are important in promoting patient safety</w:t>
      </w:r>
      <w:r w:rsidR="00485D77">
        <w:rPr>
          <w:rFonts w:cs="Cambria"/>
          <w:lang w:val="en-US" w:eastAsia="nl-BE"/>
        </w:rPr>
        <w:t xml:space="preserve"> [15]</w:t>
      </w:r>
      <w:r w:rsidRPr="00136830">
        <w:rPr>
          <w:rFonts w:cs="Cambria"/>
          <w:lang w:val="en-US" w:eastAsia="nl-BE"/>
        </w:rPr>
        <w:t>.</w:t>
      </w:r>
    </w:p>
    <w:p w:rsidR="00BF76BA" w:rsidRDefault="00BF76BA" w:rsidP="00BF76BA">
      <w:pPr>
        <w:spacing w:line="480" w:lineRule="auto"/>
        <w:jc w:val="both"/>
        <w:rPr>
          <w:lang w:val="en-GB"/>
        </w:rPr>
      </w:pPr>
      <w:r w:rsidRPr="00136830">
        <w:rPr>
          <w:lang w:val="en-US" w:eastAsia="nl-BE"/>
        </w:rPr>
        <w:lastRenderedPageBreak/>
        <w:t>For a selection of countries (Belgium, England, Ireland, Norway, and Switzerland), findings from these analyses were linked to projections relating to the supply and demand for nursing into the future and major policy issues facing nursing across Europe over the next 10 to 30 years.</w:t>
      </w:r>
      <w:r>
        <w:rPr>
          <w:lang w:val="en-GB"/>
        </w:rPr>
        <w:t xml:space="preserve"> This work wa</w:t>
      </w:r>
      <w:r w:rsidRPr="00136830">
        <w:rPr>
          <w:lang w:val="en-GB"/>
        </w:rPr>
        <w:t xml:space="preserve">s guided by a conceptual model of </w:t>
      </w:r>
      <w:r w:rsidRPr="00136830">
        <w:rPr>
          <w:bCs/>
          <w:lang w:val="en-GB"/>
        </w:rPr>
        <w:t xml:space="preserve">the contribution of nurse services to the production of health care </w:t>
      </w:r>
      <w:r w:rsidR="00485D77">
        <w:rPr>
          <w:bCs/>
          <w:lang w:val="en-GB"/>
        </w:rPr>
        <w:t>[16]</w:t>
      </w:r>
      <w:r w:rsidRPr="00136830">
        <w:rPr>
          <w:lang w:val="en-GB"/>
        </w:rPr>
        <w:t>. This model illustrates the complexity of workforce planning brought about by the interaction of inflows and outflows of staff. Also included are the number and productivity of nurses and other healthcare staff as well as the reciprocal relationship these elements of planning have with the quantity and quality of healthcare and the resulting impact on the patient. All of these interactions are impacted by internal and external environmental factors.</w:t>
      </w:r>
    </w:p>
    <w:p w:rsidR="00A2293F" w:rsidRDefault="00855B30" w:rsidP="00A749DD">
      <w:pPr>
        <w:spacing w:line="480" w:lineRule="auto"/>
        <w:rPr>
          <w:lang w:val="en-GB"/>
        </w:rPr>
      </w:pPr>
      <w:bookmarkStart w:id="0" w:name="_Toc317511874"/>
      <w:r w:rsidRPr="00136830">
        <w:rPr>
          <w:lang w:val="en-GB"/>
        </w:rPr>
        <w:t>References</w:t>
      </w:r>
      <w:bookmarkEnd w:id="0"/>
      <w:r w:rsidRPr="00136830">
        <w:rPr>
          <w:lang w:val="en-GB"/>
        </w:rPr>
        <w:t>:</w:t>
      </w:r>
    </w:p>
    <w:p w:rsidR="00ED6076" w:rsidRDefault="00A55E79" w:rsidP="00A55E79">
      <w:pPr>
        <w:pStyle w:val="Lijstalinea"/>
        <w:numPr>
          <w:ilvl w:val="0"/>
          <w:numId w:val="25"/>
        </w:numPr>
        <w:spacing w:line="480" w:lineRule="auto"/>
        <w:jc w:val="both"/>
        <w:rPr>
          <w:rFonts w:cs="Arial"/>
          <w:color w:val="000000"/>
          <w:shd w:val="clear" w:color="auto" w:fill="FFFFFF"/>
        </w:rPr>
      </w:pPr>
      <w:r w:rsidRPr="00A55E79">
        <w:rPr>
          <w:rFonts w:cs="Arial"/>
          <w:bCs/>
          <w:color w:val="000000"/>
          <w:bdr w:val="none" w:sz="0" w:space="0" w:color="auto" w:frame="1"/>
          <w:shd w:val="clear" w:color="auto" w:fill="FFFFFF"/>
        </w:rPr>
        <w:t>Aiken</w:t>
      </w:r>
      <w:r w:rsidRPr="00A55E79">
        <w:rPr>
          <w:rStyle w:val="apple-converted-space"/>
          <w:rFonts w:cs="Arial"/>
          <w:color w:val="000000"/>
          <w:shd w:val="clear" w:color="auto" w:fill="FFFFFF"/>
        </w:rPr>
        <w:t> </w:t>
      </w:r>
      <w:r w:rsidRPr="00A55E79">
        <w:rPr>
          <w:rFonts w:cs="Arial"/>
          <w:color w:val="000000"/>
          <w:shd w:val="clear" w:color="auto" w:fill="FFFFFF"/>
        </w:rPr>
        <w:t xml:space="preserve">LH, Clarke SP, Sloane DM, </w:t>
      </w:r>
      <w:proofErr w:type="spellStart"/>
      <w:r w:rsidRPr="00A55E79">
        <w:rPr>
          <w:rFonts w:cs="Arial"/>
          <w:color w:val="000000"/>
          <w:shd w:val="clear" w:color="auto" w:fill="FFFFFF"/>
        </w:rPr>
        <w:t>Sochalski</w:t>
      </w:r>
      <w:proofErr w:type="spellEnd"/>
      <w:r w:rsidRPr="00A55E79">
        <w:rPr>
          <w:rFonts w:cs="Arial"/>
          <w:color w:val="000000"/>
          <w:shd w:val="clear" w:color="auto" w:fill="FFFFFF"/>
        </w:rPr>
        <w:t xml:space="preserve"> JA,</w:t>
      </w:r>
      <w:r w:rsidRPr="00A55E79">
        <w:rPr>
          <w:rStyle w:val="apple-converted-space"/>
          <w:rFonts w:cs="Arial"/>
          <w:color w:val="000000"/>
          <w:shd w:val="clear" w:color="auto" w:fill="FFFFFF"/>
        </w:rPr>
        <w:t> </w:t>
      </w:r>
      <w:proofErr w:type="spellStart"/>
      <w:r w:rsidRPr="00A55E79">
        <w:rPr>
          <w:rFonts w:cs="Arial"/>
          <w:bCs/>
          <w:color w:val="000000"/>
          <w:bdr w:val="none" w:sz="0" w:space="0" w:color="auto" w:frame="1"/>
          <w:shd w:val="clear" w:color="auto" w:fill="FFFFFF"/>
        </w:rPr>
        <w:t>Busse</w:t>
      </w:r>
      <w:proofErr w:type="spellEnd"/>
      <w:r w:rsidRPr="00A55E79">
        <w:rPr>
          <w:rStyle w:val="apple-converted-space"/>
          <w:rFonts w:cs="Arial"/>
          <w:color w:val="000000"/>
          <w:shd w:val="clear" w:color="auto" w:fill="FFFFFF"/>
        </w:rPr>
        <w:t> </w:t>
      </w:r>
      <w:r w:rsidRPr="00A55E79">
        <w:rPr>
          <w:rFonts w:cs="Arial"/>
          <w:color w:val="000000"/>
          <w:shd w:val="clear" w:color="auto" w:fill="FFFFFF"/>
        </w:rPr>
        <w:t xml:space="preserve">R, Clarke H, </w:t>
      </w:r>
      <w:proofErr w:type="spellStart"/>
      <w:r w:rsidRPr="00A55E79">
        <w:rPr>
          <w:rFonts w:cs="Arial"/>
          <w:color w:val="000000"/>
          <w:shd w:val="clear" w:color="auto" w:fill="FFFFFF"/>
        </w:rPr>
        <w:t>Giovannetti</w:t>
      </w:r>
      <w:proofErr w:type="spellEnd"/>
      <w:r w:rsidRPr="00A55E79">
        <w:rPr>
          <w:rFonts w:cs="Arial"/>
          <w:color w:val="000000"/>
          <w:shd w:val="clear" w:color="auto" w:fill="FFFFFF"/>
        </w:rPr>
        <w:t xml:space="preserve"> P, Hunt J, Rafferty AM, </w:t>
      </w:r>
      <w:proofErr w:type="spellStart"/>
      <w:r w:rsidRPr="00A55E79">
        <w:rPr>
          <w:rFonts w:cs="Arial"/>
          <w:color w:val="000000"/>
          <w:shd w:val="clear" w:color="auto" w:fill="FFFFFF"/>
        </w:rPr>
        <w:t>Shamian</w:t>
      </w:r>
      <w:proofErr w:type="spellEnd"/>
      <w:r w:rsidRPr="00A55E79">
        <w:rPr>
          <w:rFonts w:cs="Arial"/>
          <w:color w:val="000000"/>
          <w:shd w:val="clear" w:color="auto" w:fill="FFFFFF"/>
        </w:rPr>
        <w:t xml:space="preserve"> J. </w:t>
      </w:r>
      <w:r w:rsidRPr="00A55E79">
        <w:rPr>
          <w:rFonts w:cs="Arial"/>
          <w:bdr w:val="none" w:sz="0" w:space="0" w:color="auto" w:frame="1"/>
          <w:shd w:val="clear" w:color="auto" w:fill="FFFFFF"/>
        </w:rPr>
        <w:t>Nurses' reports on hospital care in</w:t>
      </w:r>
      <w:r w:rsidRPr="00A55E79">
        <w:rPr>
          <w:rStyle w:val="apple-converted-space"/>
          <w:rFonts w:cs="Arial"/>
          <w:color w:val="642A8F"/>
          <w:u w:val="single"/>
          <w:bdr w:val="none" w:sz="0" w:space="0" w:color="auto" w:frame="1"/>
          <w:shd w:val="clear" w:color="auto" w:fill="FFFFFF"/>
        </w:rPr>
        <w:t> </w:t>
      </w:r>
      <w:r w:rsidRPr="00A55E79">
        <w:rPr>
          <w:rFonts w:cs="Arial"/>
          <w:bCs/>
          <w:bdr w:val="none" w:sz="0" w:space="0" w:color="auto" w:frame="1"/>
          <w:shd w:val="clear" w:color="auto" w:fill="FFFFFF"/>
        </w:rPr>
        <w:t>five</w:t>
      </w:r>
      <w:r w:rsidRPr="00A55E79">
        <w:rPr>
          <w:rStyle w:val="apple-converted-space"/>
          <w:rFonts w:cs="Arial"/>
          <w:color w:val="642A8F"/>
          <w:u w:val="single"/>
          <w:bdr w:val="none" w:sz="0" w:space="0" w:color="auto" w:frame="1"/>
          <w:shd w:val="clear" w:color="auto" w:fill="FFFFFF"/>
        </w:rPr>
        <w:t> </w:t>
      </w:r>
      <w:r w:rsidRPr="00A55E79">
        <w:rPr>
          <w:rFonts w:cs="Arial"/>
          <w:bdr w:val="none" w:sz="0" w:space="0" w:color="auto" w:frame="1"/>
          <w:shd w:val="clear" w:color="auto" w:fill="FFFFFF"/>
        </w:rPr>
        <w:t>countries.</w:t>
      </w:r>
      <w:r w:rsidRPr="00A55E79">
        <w:rPr>
          <w:rStyle w:val="apple-converted-space"/>
          <w:rFonts w:cs="Arial"/>
          <w:color w:val="000000"/>
          <w:bdr w:val="none" w:sz="0" w:space="0" w:color="auto" w:frame="1"/>
          <w:shd w:val="clear" w:color="auto" w:fill="FFFFFF"/>
        </w:rPr>
        <w:t xml:space="preserve"> </w:t>
      </w:r>
      <w:r w:rsidRPr="00A55E79">
        <w:rPr>
          <w:rStyle w:val="jrnl"/>
          <w:rFonts w:cs="Arial"/>
          <w:color w:val="000000"/>
          <w:bdr w:val="none" w:sz="0" w:space="0" w:color="auto" w:frame="1"/>
          <w:shd w:val="clear" w:color="auto" w:fill="FFFFFF"/>
        </w:rPr>
        <w:t xml:space="preserve">Health </w:t>
      </w:r>
      <w:proofErr w:type="spellStart"/>
      <w:r w:rsidRPr="00A55E79">
        <w:rPr>
          <w:rStyle w:val="jrnl"/>
          <w:rFonts w:cs="Arial"/>
          <w:color w:val="000000"/>
          <w:bdr w:val="none" w:sz="0" w:space="0" w:color="auto" w:frame="1"/>
          <w:shd w:val="clear" w:color="auto" w:fill="FFFFFF"/>
        </w:rPr>
        <w:t>Aff</w:t>
      </w:r>
      <w:proofErr w:type="spellEnd"/>
      <w:r w:rsidRPr="00A55E79">
        <w:rPr>
          <w:rStyle w:val="jrnl"/>
          <w:rFonts w:cs="Arial"/>
          <w:color w:val="000000"/>
          <w:bdr w:val="none" w:sz="0" w:space="0" w:color="auto" w:frame="1"/>
          <w:shd w:val="clear" w:color="auto" w:fill="FFFFFF"/>
        </w:rPr>
        <w:t xml:space="preserve"> (Millwood)</w:t>
      </w:r>
      <w:r w:rsidR="00117B99">
        <w:rPr>
          <w:rFonts w:cs="Arial"/>
          <w:color w:val="000000"/>
          <w:shd w:val="clear" w:color="auto" w:fill="FFFFFF"/>
        </w:rPr>
        <w:t xml:space="preserve"> 2001, 20(3) ,</w:t>
      </w:r>
      <w:r w:rsidRPr="00A55E79">
        <w:rPr>
          <w:rFonts w:cs="Arial"/>
          <w:color w:val="000000"/>
          <w:shd w:val="clear" w:color="auto" w:fill="FFFFFF"/>
        </w:rPr>
        <w:t>43-53.</w:t>
      </w:r>
    </w:p>
    <w:p w:rsidR="00AD00A4" w:rsidRPr="00AD00A4" w:rsidRDefault="00571D8E" w:rsidP="0075458D">
      <w:pPr>
        <w:pStyle w:val="Lijstalinea"/>
        <w:numPr>
          <w:ilvl w:val="0"/>
          <w:numId w:val="25"/>
        </w:numPr>
        <w:spacing w:line="480" w:lineRule="auto"/>
        <w:jc w:val="both"/>
        <w:rPr>
          <w:rFonts w:cs="Arial"/>
          <w:color w:val="000000"/>
          <w:shd w:val="clear" w:color="auto" w:fill="FFFFFF"/>
        </w:rPr>
      </w:pPr>
      <w:r w:rsidRPr="00ED6076">
        <w:t xml:space="preserve">OECD Health at a Glance 2009: OECD Indicators. </w:t>
      </w:r>
      <w:r w:rsidR="00AD00A4">
        <w:rPr>
          <w:rFonts w:ascii="Calibri" w:hAnsi="Calibri" w:cs="Calibri"/>
          <w:color w:val="000000"/>
        </w:rPr>
        <w:t>Paris, OECD Publishing,</w:t>
      </w:r>
      <w:r w:rsidR="00AD00A4" w:rsidRPr="00757403">
        <w:rPr>
          <w:rFonts w:ascii="Calibri" w:hAnsi="Calibri" w:cs="Calibri"/>
          <w:color w:val="000000"/>
        </w:rPr>
        <w:t xml:space="preserve"> 2010, Ref Type: Report.</w:t>
      </w:r>
    </w:p>
    <w:p w:rsidR="0075458D" w:rsidRPr="00AD00A4" w:rsidRDefault="00571D8E" w:rsidP="0075458D">
      <w:pPr>
        <w:pStyle w:val="Lijstalinea"/>
        <w:numPr>
          <w:ilvl w:val="0"/>
          <w:numId w:val="25"/>
        </w:numPr>
        <w:spacing w:line="480" w:lineRule="auto"/>
        <w:jc w:val="both"/>
        <w:rPr>
          <w:rFonts w:cs="Arial"/>
          <w:color w:val="000000"/>
          <w:shd w:val="clear" w:color="auto" w:fill="FFFFFF"/>
        </w:rPr>
      </w:pPr>
      <w:r w:rsidRPr="00ED6076">
        <w:t>Ko</w:t>
      </w:r>
      <w:r w:rsidR="00AD00A4">
        <w:t>hn LT, Corrigan JM, Donaldson M.</w:t>
      </w:r>
      <w:r w:rsidRPr="00ED6076">
        <w:t xml:space="preserve"> To Err is Human: Building a Safer </w:t>
      </w:r>
      <w:r w:rsidR="00AD00A4">
        <w:t xml:space="preserve">Health System Washington, D.C. </w:t>
      </w:r>
      <w:r w:rsidRPr="00ED6076">
        <w:t>National Academy Press; 199</w:t>
      </w:r>
      <w:r w:rsidR="00AD00A4">
        <w:t>9.</w:t>
      </w:r>
    </w:p>
    <w:p w:rsidR="0075458D" w:rsidRPr="0075458D" w:rsidRDefault="00947A0B" w:rsidP="0075458D">
      <w:pPr>
        <w:pStyle w:val="Lijstalinea"/>
        <w:numPr>
          <w:ilvl w:val="0"/>
          <w:numId w:val="25"/>
        </w:numPr>
        <w:spacing w:line="480" w:lineRule="auto"/>
        <w:jc w:val="both"/>
        <w:rPr>
          <w:rFonts w:cs="Arial"/>
          <w:color w:val="000000"/>
          <w:shd w:val="clear" w:color="auto" w:fill="FFFFFF"/>
        </w:rPr>
      </w:pPr>
      <w:r>
        <w:t xml:space="preserve">Lake </w:t>
      </w:r>
      <w:r w:rsidR="00855B30" w:rsidRPr="00136830">
        <w:t xml:space="preserve">ET. Development of the practice environment scale of the Nursing Work Index. </w:t>
      </w:r>
      <w:r w:rsidR="00855B30" w:rsidRPr="0075458D">
        <w:rPr>
          <w:iCs/>
        </w:rPr>
        <w:t>Research in Nursing and Health</w:t>
      </w:r>
      <w:r w:rsidR="00AD00A4">
        <w:rPr>
          <w:iCs/>
        </w:rPr>
        <w:t xml:space="preserve"> 2002</w:t>
      </w:r>
      <w:r w:rsidR="00855B30" w:rsidRPr="0075458D">
        <w:rPr>
          <w:iCs/>
        </w:rPr>
        <w:t>, 25,</w:t>
      </w:r>
      <w:r w:rsidR="00855B30" w:rsidRPr="00136830">
        <w:t xml:space="preserve"> 176-188.</w:t>
      </w:r>
    </w:p>
    <w:p w:rsidR="0075458D" w:rsidRPr="0075458D" w:rsidRDefault="00947A0B" w:rsidP="0075458D">
      <w:pPr>
        <w:pStyle w:val="Lijstalinea"/>
        <w:numPr>
          <w:ilvl w:val="0"/>
          <w:numId w:val="25"/>
        </w:numPr>
        <w:spacing w:line="480" w:lineRule="auto"/>
        <w:jc w:val="both"/>
        <w:rPr>
          <w:rFonts w:cs="Arial"/>
          <w:color w:val="000000"/>
          <w:shd w:val="clear" w:color="auto" w:fill="FFFFFF"/>
        </w:rPr>
      </w:pPr>
      <w:proofErr w:type="spellStart"/>
      <w:r>
        <w:t>Maslach</w:t>
      </w:r>
      <w:proofErr w:type="spellEnd"/>
      <w:r>
        <w:t xml:space="preserve"> C &amp; Jackson</w:t>
      </w:r>
      <w:r w:rsidR="00855B30" w:rsidRPr="00136830">
        <w:t xml:space="preserve"> SE. </w:t>
      </w:r>
      <w:proofErr w:type="spellStart"/>
      <w:r w:rsidR="00855B30" w:rsidRPr="0075458D">
        <w:rPr>
          <w:iCs/>
        </w:rPr>
        <w:t>Maslach</w:t>
      </w:r>
      <w:proofErr w:type="spellEnd"/>
      <w:r w:rsidR="00855B30" w:rsidRPr="0075458D">
        <w:rPr>
          <w:iCs/>
        </w:rPr>
        <w:t xml:space="preserve"> Burnout Inventory Manual (2nd ed.)</w:t>
      </w:r>
      <w:r w:rsidR="00855B30" w:rsidRPr="00136830">
        <w:t xml:space="preserve"> Palo Alto</w:t>
      </w:r>
      <w:r w:rsidR="00CD6378">
        <w:t xml:space="preserve"> 1986</w:t>
      </w:r>
      <w:r w:rsidR="00855B30" w:rsidRPr="00136830">
        <w:t>, CA: Consulting Psychologists Press.</w:t>
      </w:r>
    </w:p>
    <w:p w:rsidR="00CB41FB" w:rsidRPr="00CB41FB" w:rsidRDefault="00855B30" w:rsidP="0075458D">
      <w:pPr>
        <w:pStyle w:val="Lijstalinea"/>
        <w:numPr>
          <w:ilvl w:val="0"/>
          <w:numId w:val="25"/>
        </w:numPr>
        <w:spacing w:line="480" w:lineRule="auto"/>
        <w:jc w:val="both"/>
        <w:rPr>
          <w:rFonts w:cs="Arial"/>
          <w:color w:val="000000"/>
          <w:shd w:val="clear" w:color="auto" w:fill="FFFFFF"/>
        </w:rPr>
      </w:pPr>
      <w:proofErr w:type="spellStart"/>
      <w:r w:rsidRPr="0075458D">
        <w:rPr>
          <w:rFonts w:cs="Cambria"/>
        </w:rPr>
        <w:t>Sorra</w:t>
      </w:r>
      <w:proofErr w:type="spellEnd"/>
      <w:r w:rsidRPr="0075458D">
        <w:rPr>
          <w:rFonts w:cs="Cambria"/>
        </w:rPr>
        <w:t xml:space="preserve"> JS, </w:t>
      </w:r>
      <w:proofErr w:type="spellStart"/>
      <w:r w:rsidRPr="0075458D">
        <w:rPr>
          <w:rFonts w:cs="Cambria"/>
        </w:rPr>
        <w:t>Nieva</w:t>
      </w:r>
      <w:proofErr w:type="spellEnd"/>
      <w:r w:rsidRPr="0075458D">
        <w:rPr>
          <w:rFonts w:cs="Cambria"/>
        </w:rPr>
        <w:t xml:space="preserve"> VF. Hospital Survey on Patient Safety Culture (Prepared by </w:t>
      </w:r>
      <w:proofErr w:type="spellStart"/>
      <w:r w:rsidRPr="0075458D">
        <w:rPr>
          <w:rFonts w:cs="Cambria"/>
        </w:rPr>
        <w:t>Westat</w:t>
      </w:r>
      <w:proofErr w:type="spellEnd"/>
      <w:r w:rsidRPr="0075458D">
        <w:rPr>
          <w:rFonts w:cs="Cambria"/>
        </w:rPr>
        <w:t>, Rockville, MD, under contract No. 290-96-0004). AHRQ Publication No. 04-0041 Rockville, MD: Agency for Healthcare Research and Quality</w:t>
      </w:r>
      <w:r w:rsidR="00CD6378">
        <w:rPr>
          <w:rFonts w:cs="Cambria"/>
        </w:rPr>
        <w:t>, 2004</w:t>
      </w:r>
      <w:r w:rsidRPr="0075458D">
        <w:rPr>
          <w:rFonts w:cs="Cambria"/>
        </w:rPr>
        <w:t>.</w:t>
      </w:r>
    </w:p>
    <w:p w:rsidR="00CB41FB" w:rsidRPr="00CB41FB" w:rsidRDefault="00947A0B" w:rsidP="0075458D">
      <w:pPr>
        <w:pStyle w:val="Lijstalinea"/>
        <w:numPr>
          <w:ilvl w:val="0"/>
          <w:numId w:val="25"/>
        </w:numPr>
        <w:spacing w:line="480" w:lineRule="auto"/>
        <w:jc w:val="both"/>
        <w:rPr>
          <w:rFonts w:cs="Arial"/>
          <w:color w:val="000000"/>
          <w:shd w:val="clear" w:color="auto" w:fill="FFFFFF"/>
        </w:rPr>
      </w:pPr>
      <w:r>
        <w:t>Darby C, Hays</w:t>
      </w:r>
      <w:r w:rsidR="008A46D3">
        <w:t xml:space="preserve"> RD, </w:t>
      </w:r>
      <w:proofErr w:type="spellStart"/>
      <w:r w:rsidR="008A46D3">
        <w:t>Kletke</w:t>
      </w:r>
      <w:proofErr w:type="spellEnd"/>
      <w:r w:rsidR="00855B30" w:rsidRPr="00136830">
        <w:t xml:space="preserve"> P. </w:t>
      </w:r>
      <w:r w:rsidR="00855B30" w:rsidRPr="00CB41FB">
        <w:rPr>
          <w:rFonts w:cs="Arial"/>
          <w:bdr w:val="none" w:sz="0" w:space="0" w:color="auto" w:frame="1"/>
        </w:rPr>
        <w:t>Development and evaluation of the</w:t>
      </w:r>
      <w:r w:rsidR="00855B30" w:rsidRPr="00CB41FB">
        <w:rPr>
          <w:rStyle w:val="apple-converted-space"/>
          <w:rFonts w:cs="Arial"/>
          <w:bdr w:val="none" w:sz="0" w:space="0" w:color="auto" w:frame="1"/>
        </w:rPr>
        <w:t> </w:t>
      </w:r>
      <w:r w:rsidR="00855B30" w:rsidRPr="00CB41FB">
        <w:rPr>
          <w:rFonts w:cs="Arial"/>
          <w:bCs/>
          <w:bdr w:val="none" w:sz="0" w:space="0" w:color="auto" w:frame="1"/>
        </w:rPr>
        <w:t>CAHPS</w:t>
      </w:r>
      <w:r w:rsidR="00855B30" w:rsidRPr="00CB41FB">
        <w:rPr>
          <w:rStyle w:val="apple-converted-space"/>
          <w:rFonts w:cs="Arial"/>
          <w:bdr w:val="none" w:sz="0" w:space="0" w:color="auto" w:frame="1"/>
        </w:rPr>
        <w:t> </w:t>
      </w:r>
      <w:r w:rsidR="00855B30" w:rsidRPr="00CB41FB">
        <w:rPr>
          <w:rFonts w:cs="Arial"/>
          <w:bdr w:val="none" w:sz="0" w:space="0" w:color="auto" w:frame="1"/>
        </w:rPr>
        <w:t>hospital survey.</w:t>
      </w:r>
      <w:r w:rsidR="00855B30" w:rsidRPr="00136830">
        <w:t xml:space="preserve"> </w:t>
      </w:r>
      <w:r w:rsidR="00855B30" w:rsidRPr="00CB41FB">
        <w:rPr>
          <w:rStyle w:val="jrnl"/>
          <w:rFonts w:cs="Arial"/>
          <w:bdr w:val="none" w:sz="0" w:space="0" w:color="auto" w:frame="1"/>
        </w:rPr>
        <w:t xml:space="preserve">Health </w:t>
      </w:r>
      <w:proofErr w:type="spellStart"/>
      <w:r w:rsidR="00855B30" w:rsidRPr="00CB41FB">
        <w:rPr>
          <w:rStyle w:val="jrnl"/>
          <w:rFonts w:cs="Arial"/>
          <w:bdr w:val="none" w:sz="0" w:space="0" w:color="auto" w:frame="1"/>
        </w:rPr>
        <w:t>Serv</w:t>
      </w:r>
      <w:proofErr w:type="spellEnd"/>
      <w:r w:rsidR="00855B30" w:rsidRPr="00CB41FB">
        <w:rPr>
          <w:rStyle w:val="jrnl"/>
          <w:rFonts w:cs="Arial"/>
          <w:bdr w:val="none" w:sz="0" w:space="0" w:color="auto" w:frame="1"/>
        </w:rPr>
        <w:t xml:space="preserve"> Res</w:t>
      </w:r>
      <w:r w:rsidR="00855B30" w:rsidRPr="00CB41FB">
        <w:rPr>
          <w:rFonts w:cs="Arial"/>
        </w:rPr>
        <w:t xml:space="preserve"> 2005</w:t>
      </w:r>
      <w:r w:rsidR="00CD6378">
        <w:rPr>
          <w:rFonts w:cs="Arial"/>
        </w:rPr>
        <w:t xml:space="preserve">, </w:t>
      </w:r>
      <w:r w:rsidR="00855B30" w:rsidRPr="00CB41FB">
        <w:rPr>
          <w:rFonts w:cs="Arial"/>
        </w:rPr>
        <w:t>40</w:t>
      </w:r>
      <w:r w:rsidR="00CD6378">
        <w:rPr>
          <w:rFonts w:cs="Arial"/>
        </w:rPr>
        <w:t xml:space="preserve">(6 Pt 2), </w:t>
      </w:r>
      <w:r w:rsidR="00855B30" w:rsidRPr="00CB41FB">
        <w:rPr>
          <w:rFonts w:cs="Arial"/>
        </w:rPr>
        <w:t>1973-</w:t>
      </w:r>
      <w:r w:rsidR="00CD6378">
        <w:rPr>
          <w:rFonts w:cs="Arial"/>
        </w:rPr>
        <w:t>197</w:t>
      </w:r>
      <w:r w:rsidR="00855B30" w:rsidRPr="00CB41FB">
        <w:rPr>
          <w:rFonts w:cs="Arial"/>
        </w:rPr>
        <w:t xml:space="preserve">6. </w:t>
      </w:r>
    </w:p>
    <w:p w:rsidR="00CB41FB" w:rsidRPr="00CB41FB" w:rsidRDefault="00855B30" w:rsidP="0075458D">
      <w:pPr>
        <w:pStyle w:val="Lijstalinea"/>
        <w:numPr>
          <w:ilvl w:val="0"/>
          <w:numId w:val="25"/>
        </w:numPr>
        <w:spacing w:line="480" w:lineRule="auto"/>
        <w:jc w:val="both"/>
        <w:rPr>
          <w:rFonts w:cs="Arial"/>
          <w:color w:val="000000"/>
          <w:shd w:val="clear" w:color="auto" w:fill="FFFFFF"/>
        </w:rPr>
      </w:pPr>
      <w:proofErr w:type="spellStart"/>
      <w:r w:rsidRPr="00CB41FB">
        <w:rPr>
          <w:rFonts w:cs="Arial"/>
          <w:bCs/>
          <w:bdr w:val="none" w:sz="0" w:space="0" w:color="auto" w:frame="1"/>
        </w:rPr>
        <w:lastRenderedPageBreak/>
        <w:t>Quan</w:t>
      </w:r>
      <w:proofErr w:type="spellEnd"/>
      <w:r w:rsidRPr="00CB41FB">
        <w:rPr>
          <w:rStyle w:val="apple-converted-space"/>
          <w:rFonts w:cs="Arial"/>
        </w:rPr>
        <w:t> </w:t>
      </w:r>
      <w:r w:rsidRPr="00CB41FB">
        <w:rPr>
          <w:rFonts w:cs="Arial"/>
        </w:rPr>
        <w:t xml:space="preserve">H, Li B, </w:t>
      </w:r>
      <w:proofErr w:type="spellStart"/>
      <w:r w:rsidRPr="00CB41FB">
        <w:rPr>
          <w:rFonts w:cs="Arial"/>
        </w:rPr>
        <w:t>Couris</w:t>
      </w:r>
      <w:proofErr w:type="spellEnd"/>
      <w:r w:rsidRPr="00CB41FB">
        <w:rPr>
          <w:rFonts w:cs="Arial"/>
        </w:rPr>
        <w:t xml:space="preserve"> CM, Fushimi K, Graham P, Hider P, </w:t>
      </w:r>
      <w:proofErr w:type="spellStart"/>
      <w:r w:rsidRPr="00CB41FB">
        <w:rPr>
          <w:rFonts w:cs="Arial"/>
        </w:rPr>
        <w:t>Januel</w:t>
      </w:r>
      <w:proofErr w:type="spellEnd"/>
      <w:r w:rsidRPr="00CB41FB">
        <w:rPr>
          <w:rFonts w:cs="Arial"/>
        </w:rPr>
        <w:t xml:space="preserve"> JM, </w:t>
      </w:r>
      <w:proofErr w:type="spellStart"/>
      <w:r w:rsidRPr="00CB41FB">
        <w:rPr>
          <w:rFonts w:cs="Arial"/>
        </w:rPr>
        <w:t>Sundararajan</w:t>
      </w:r>
      <w:proofErr w:type="spellEnd"/>
      <w:r w:rsidRPr="00CB41FB">
        <w:rPr>
          <w:rFonts w:cs="Arial"/>
        </w:rPr>
        <w:t xml:space="preserve"> V. </w:t>
      </w:r>
      <w:r w:rsidRPr="00CB41FB">
        <w:rPr>
          <w:rFonts w:cs="Arial"/>
          <w:bdr w:val="none" w:sz="0" w:space="0" w:color="auto" w:frame="1"/>
        </w:rPr>
        <w:t>Updating and validating the</w:t>
      </w:r>
      <w:r w:rsidRPr="00CB41FB">
        <w:rPr>
          <w:rStyle w:val="apple-converted-space"/>
          <w:rFonts w:cs="Arial"/>
          <w:bdr w:val="none" w:sz="0" w:space="0" w:color="auto" w:frame="1"/>
        </w:rPr>
        <w:t> </w:t>
      </w:r>
      <w:proofErr w:type="spellStart"/>
      <w:r w:rsidRPr="00CB41FB">
        <w:rPr>
          <w:rFonts w:cs="Arial"/>
          <w:bCs/>
          <w:bdr w:val="none" w:sz="0" w:space="0" w:color="auto" w:frame="1"/>
        </w:rPr>
        <w:t>Charlson</w:t>
      </w:r>
      <w:proofErr w:type="spellEnd"/>
      <w:r w:rsidRPr="00CB41FB">
        <w:rPr>
          <w:rStyle w:val="apple-converted-space"/>
          <w:rFonts w:cs="Arial"/>
          <w:bdr w:val="none" w:sz="0" w:space="0" w:color="auto" w:frame="1"/>
        </w:rPr>
        <w:t> </w:t>
      </w:r>
      <w:proofErr w:type="spellStart"/>
      <w:r w:rsidRPr="00CB41FB">
        <w:rPr>
          <w:rFonts w:cs="Arial"/>
          <w:bdr w:val="none" w:sz="0" w:space="0" w:color="auto" w:frame="1"/>
        </w:rPr>
        <w:t>comorbidity</w:t>
      </w:r>
      <w:proofErr w:type="spellEnd"/>
      <w:r w:rsidRPr="00CB41FB">
        <w:rPr>
          <w:rFonts w:cs="Arial"/>
          <w:bdr w:val="none" w:sz="0" w:space="0" w:color="auto" w:frame="1"/>
        </w:rPr>
        <w:t xml:space="preserve"> index and score for risk adjustment in hospital discharge abstracts using data from 6 countries.</w:t>
      </w:r>
      <w:r w:rsidRPr="00CB41FB">
        <w:rPr>
          <w:rFonts w:cs="Arial"/>
        </w:rPr>
        <w:t xml:space="preserve"> </w:t>
      </w:r>
      <w:r w:rsidRPr="00CB41FB">
        <w:rPr>
          <w:rStyle w:val="jrnl"/>
          <w:rFonts w:cs="Arial"/>
          <w:bdr w:val="none" w:sz="0" w:space="0" w:color="auto" w:frame="1"/>
        </w:rPr>
        <w:t xml:space="preserve">Am J </w:t>
      </w:r>
      <w:proofErr w:type="spellStart"/>
      <w:r w:rsidRPr="00CB41FB">
        <w:rPr>
          <w:rStyle w:val="jrnl"/>
          <w:rFonts w:cs="Arial"/>
          <w:bdr w:val="none" w:sz="0" w:space="0" w:color="auto" w:frame="1"/>
        </w:rPr>
        <w:t>Epidemiol</w:t>
      </w:r>
      <w:proofErr w:type="spellEnd"/>
      <w:r w:rsidR="00CD6378">
        <w:rPr>
          <w:rStyle w:val="jrnl"/>
          <w:rFonts w:cs="Arial"/>
          <w:bdr w:val="none" w:sz="0" w:space="0" w:color="auto" w:frame="1"/>
        </w:rPr>
        <w:t xml:space="preserve"> 2011,</w:t>
      </w:r>
      <w:r w:rsidR="00947A0B">
        <w:rPr>
          <w:rFonts w:cs="Arial"/>
        </w:rPr>
        <w:t xml:space="preserve"> 173(6), </w:t>
      </w:r>
      <w:r w:rsidRPr="00CB41FB">
        <w:rPr>
          <w:rFonts w:cs="Arial"/>
        </w:rPr>
        <w:t xml:space="preserve">676-82. </w:t>
      </w:r>
    </w:p>
    <w:p w:rsidR="00CB41FB" w:rsidRPr="00CB41FB" w:rsidRDefault="00855B30" w:rsidP="0075458D">
      <w:pPr>
        <w:pStyle w:val="Lijstalinea"/>
        <w:numPr>
          <w:ilvl w:val="0"/>
          <w:numId w:val="25"/>
        </w:numPr>
        <w:spacing w:line="480" w:lineRule="auto"/>
        <w:jc w:val="both"/>
        <w:rPr>
          <w:rFonts w:cs="Arial"/>
          <w:color w:val="000000"/>
          <w:shd w:val="clear" w:color="auto" w:fill="FFFFFF"/>
        </w:rPr>
      </w:pPr>
      <w:r w:rsidRPr="00CB41FB">
        <w:rPr>
          <w:lang w:val="de-DE"/>
        </w:rPr>
        <w:t xml:space="preserve">Silber, JH, Rosenbaum, PR, Schwartz, JS, Ross, RN, &amp; Williams, SV. </w:t>
      </w:r>
      <w:r w:rsidRPr="00136830">
        <w:t xml:space="preserve">Evaluation of the complication rate as a measure of quality of care in coronary artery bypass graft surgery. </w:t>
      </w:r>
      <w:r w:rsidRPr="00CB41FB">
        <w:rPr>
          <w:iCs/>
        </w:rPr>
        <w:t>JAMA</w:t>
      </w:r>
      <w:r w:rsidR="00947A0B">
        <w:rPr>
          <w:iCs/>
        </w:rPr>
        <w:t xml:space="preserve"> </w:t>
      </w:r>
      <w:r w:rsidR="00947A0B">
        <w:rPr>
          <w:lang w:val="de-DE"/>
        </w:rPr>
        <w:t>1995</w:t>
      </w:r>
      <w:r w:rsidRPr="00CB41FB">
        <w:rPr>
          <w:iCs/>
        </w:rPr>
        <w:t>, 274,</w:t>
      </w:r>
      <w:r w:rsidRPr="00136830">
        <w:t xml:space="preserve"> 317-323.</w:t>
      </w:r>
    </w:p>
    <w:p w:rsidR="005E627F" w:rsidRPr="005E627F" w:rsidRDefault="00855B30" w:rsidP="0075458D">
      <w:pPr>
        <w:pStyle w:val="Lijstalinea"/>
        <w:numPr>
          <w:ilvl w:val="0"/>
          <w:numId w:val="25"/>
        </w:numPr>
        <w:spacing w:line="480" w:lineRule="auto"/>
        <w:jc w:val="both"/>
        <w:rPr>
          <w:rFonts w:cs="Arial"/>
          <w:color w:val="000000"/>
          <w:shd w:val="clear" w:color="auto" w:fill="FFFFFF"/>
        </w:rPr>
      </w:pPr>
      <w:r w:rsidRPr="00136830">
        <w:t>Silber, JH</w:t>
      </w:r>
      <w:r w:rsidR="008A46D3">
        <w:t>, Kennedy SK, Even-</w:t>
      </w:r>
      <w:proofErr w:type="spellStart"/>
      <w:r w:rsidR="008A46D3">
        <w:t>Shoshan</w:t>
      </w:r>
      <w:proofErr w:type="spellEnd"/>
      <w:r w:rsidRPr="00136830">
        <w:t xml:space="preserve"> O, Chen</w:t>
      </w:r>
      <w:r w:rsidR="008A46D3">
        <w:t xml:space="preserve"> W, </w:t>
      </w:r>
      <w:proofErr w:type="spellStart"/>
      <w:r w:rsidR="008A46D3">
        <w:t>Koziol</w:t>
      </w:r>
      <w:proofErr w:type="spellEnd"/>
      <w:r w:rsidR="008A46D3">
        <w:t xml:space="preserve"> LF, </w:t>
      </w:r>
      <w:proofErr w:type="spellStart"/>
      <w:r w:rsidR="008A46D3">
        <w:t>Showan</w:t>
      </w:r>
      <w:proofErr w:type="spellEnd"/>
      <w:r w:rsidRPr="00136830">
        <w:t xml:space="preserve"> AM et al. Anesthesiologist direction and patient outcomes. </w:t>
      </w:r>
      <w:r w:rsidRPr="00CB41FB">
        <w:rPr>
          <w:iCs/>
        </w:rPr>
        <w:t>Anesthesiology</w:t>
      </w:r>
      <w:r w:rsidR="008A46D3">
        <w:rPr>
          <w:iCs/>
        </w:rPr>
        <w:t xml:space="preserve"> 2000</w:t>
      </w:r>
      <w:r w:rsidRPr="00CB41FB">
        <w:rPr>
          <w:iCs/>
        </w:rPr>
        <w:t>, 93,</w:t>
      </w:r>
      <w:r w:rsidRPr="00136830">
        <w:t xml:space="preserve"> 152-163.</w:t>
      </w:r>
    </w:p>
    <w:p w:rsidR="005E627F" w:rsidRPr="005E627F" w:rsidRDefault="006B606A" w:rsidP="0075458D">
      <w:pPr>
        <w:pStyle w:val="Lijstalinea"/>
        <w:numPr>
          <w:ilvl w:val="0"/>
          <w:numId w:val="25"/>
        </w:numPr>
        <w:spacing w:line="480" w:lineRule="auto"/>
        <w:jc w:val="both"/>
        <w:rPr>
          <w:rFonts w:cs="Arial"/>
          <w:color w:val="000000"/>
          <w:shd w:val="clear" w:color="auto" w:fill="FFFFFF"/>
        </w:rPr>
      </w:pPr>
      <w:r>
        <w:t>Rafferty AM, Clarke SP, Coles J, Ball J, James</w:t>
      </w:r>
      <w:r w:rsidR="00855B30" w:rsidRPr="00136830">
        <w:t xml:space="preserve"> P, McKee</w:t>
      </w:r>
      <w:r>
        <w:t xml:space="preserve"> M et al. </w:t>
      </w:r>
      <w:r w:rsidR="00855B30" w:rsidRPr="00136830">
        <w:t xml:space="preserve">Outcomes of variation in hospital nurse staffing in English hospitals: cross-sectional analysis of survey data and discharge records. </w:t>
      </w:r>
      <w:r w:rsidR="00855B30" w:rsidRPr="005E627F">
        <w:rPr>
          <w:iCs/>
        </w:rPr>
        <w:t>International Journal of Nursing Studies</w:t>
      </w:r>
      <w:r>
        <w:rPr>
          <w:iCs/>
        </w:rPr>
        <w:t xml:space="preserve"> 2007</w:t>
      </w:r>
      <w:r w:rsidR="00855B30" w:rsidRPr="005E627F">
        <w:rPr>
          <w:iCs/>
        </w:rPr>
        <w:t>, 44,</w:t>
      </w:r>
      <w:r w:rsidR="00855B30" w:rsidRPr="00136830">
        <w:t xml:space="preserve"> 175-182.</w:t>
      </w:r>
    </w:p>
    <w:p w:rsidR="00485D77" w:rsidRPr="006B606A" w:rsidRDefault="00FC6AB2" w:rsidP="0075458D">
      <w:pPr>
        <w:pStyle w:val="Lijstalinea"/>
        <w:numPr>
          <w:ilvl w:val="0"/>
          <w:numId w:val="25"/>
        </w:numPr>
        <w:spacing w:line="480" w:lineRule="auto"/>
        <w:jc w:val="both"/>
        <w:rPr>
          <w:rFonts w:cs="Arial"/>
          <w:color w:val="000000"/>
          <w:shd w:val="clear" w:color="auto" w:fill="FFFFFF"/>
          <w:lang w:val="nl-BE"/>
        </w:rPr>
      </w:pPr>
      <w:r w:rsidRPr="00B93129">
        <w:t xml:space="preserve">Sermeus, W, Van den Heede K, &amp; Vleugels, A. </w:t>
      </w:r>
      <w:r w:rsidR="00855B30" w:rsidRPr="00B93129">
        <w:rPr>
          <w:iCs/>
        </w:rPr>
        <w:t>Database Quality of Nursing Care</w:t>
      </w:r>
      <w:r w:rsidR="00855B30" w:rsidRPr="00B93129">
        <w:t xml:space="preserve"> (Rep. No. </w:t>
      </w:r>
      <w:r w:rsidR="00855B30" w:rsidRPr="005E627F">
        <w:rPr>
          <w:iCs/>
          <w:lang w:val="de-DE"/>
        </w:rPr>
        <w:t>AG/01/123</w:t>
      </w:r>
      <w:r w:rsidR="00855B30" w:rsidRPr="005E627F">
        <w:rPr>
          <w:lang w:val="de-DE"/>
        </w:rPr>
        <w:t>)</w:t>
      </w:r>
      <w:r w:rsidR="006B606A">
        <w:rPr>
          <w:lang w:val="de-DE"/>
        </w:rPr>
        <w:t xml:space="preserve"> 2007</w:t>
      </w:r>
      <w:r w:rsidR="00855B30" w:rsidRPr="005E627F">
        <w:rPr>
          <w:lang w:val="de-DE"/>
        </w:rPr>
        <w:t xml:space="preserve">. Leuven: </w:t>
      </w:r>
      <w:proofErr w:type="spellStart"/>
      <w:r w:rsidR="00855B30" w:rsidRPr="005E627F">
        <w:rPr>
          <w:lang w:val="de-DE"/>
        </w:rPr>
        <w:t>Katholieke</w:t>
      </w:r>
      <w:proofErr w:type="spellEnd"/>
      <w:r w:rsidR="00855B30" w:rsidRPr="005E627F">
        <w:rPr>
          <w:lang w:val="de-DE"/>
        </w:rPr>
        <w:t xml:space="preserve"> </w:t>
      </w:r>
      <w:proofErr w:type="spellStart"/>
      <w:r w:rsidR="00855B30" w:rsidRPr="005E627F">
        <w:rPr>
          <w:lang w:val="de-DE"/>
        </w:rPr>
        <w:t>Universiteit</w:t>
      </w:r>
      <w:proofErr w:type="spellEnd"/>
      <w:r w:rsidR="00855B30" w:rsidRPr="005E627F">
        <w:rPr>
          <w:lang w:val="de-DE"/>
        </w:rPr>
        <w:t xml:space="preserve"> Leuven.</w:t>
      </w:r>
    </w:p>
    <w:p w:rsidR="00485D77" w:rsidRPr="00485D77" w:rsidRDefault="00FC6AB2" w:rsidP="0075458D">
      <w:pPr>
        <w:pStyle w:val="Lijstalinea"/>
        <w:numPr>
          <w:ilvl w:val="0"/>
          <w:numId w:val="25"/>
        </w:numPr>
        <w:spacing w:line="480" w:lineRule="auto"/>
        <w:jc w:val="both"/>
        <w:rPr>
          <w:rFonts w:cs="Arial"/>
          <w:color w:val="000000"/>
          <w:shd w:val="clear" w:color="auto" w:fill="FFFFFF"/>
        </w:rPr>
      </w:pPr>
      <w:r w:rsidRPr="00485D77">
        <w:rPr>
          <w:lang w:val="de-DE"/>
        </w:rPr>
        <w:t xml:space="preserve">Aiken LH, Sloane DM, </w:t>
      </w:r>
      <w:proofErr w:type="spellStart"/>
      <w:r w:rsidRPr="00485D77">
        <w:rPr>
          <w:lang w:val="de-DE"/>
        </w:rPr>
        <w:t>Cimiotti</w:t>
      </w:r>
      <w:proofErr w:type="spellEnd"/>
      <w:r w:rsidRPr="00485D77">
        <w:rPr>
          <w:lang w:val="de-DE"/>
        </w:rPr>
        <w:t xml:space="preserve"> JP, Clarke SP, Flynn L, </w:t>
      </w:r>
      <w:proofErr w:type="spellStart"/>
      <w:r w:rsidRPr="00485D77">
        <w:rPr>
          <w:lang w:val="de-DE"/>
        </w:rPr>
        <w:t>Seago</w:t>
      </w:r>
      <w:proofErr w:type="spellEnd"/>
      <w:r w:rsidRPr="00485D77">
        <w:rPr>
          <w:lang w:val="de-DE"/>
        </w:rPr>
        <w:t xml:space="preserve"> JA, et al. </w:t>
      </w:r>
      <w:r w:rsidR="00855B30" w:rsidRPr="00136830">
        <w:t xml:space="preserve">Implications of the California nurse staffing mandate for other states. </w:t>
      </w:r>
      <w:r w:rsidR="00855B30" w:rsidRPr="006B606A">
        <w:rPr>
          <w:iCs/>
        </w:rPr>
        <w:t xml:space="preserve">Health </w:t>
      </w:r>
      <w:proofErr w:type="spellStart"/>
      <w:r w:rsidR="00855B30" w:rsidRPr="006B606A">
        <w:rPr>
          <w:iCs/>
        </w:rPr>
        <w:t>Serv</w:t>
      </w:r>
      <w:proofErr w:type="spellEnd"/>
      <w:r w:rsidR="00855B30" w:rsidRPr="006B606A">
        <w:rPr>
          <w:iCs/>
        </w:rPr>
        <w:t xml:space="preserve"> Res</w:t>
      </w:r>
      <w:r w:rsidR="00855B30" w:rsidRPr="00136830">
        <w:t xml:space="preserve"> </w:t>
      </w:r>
      <w:r w:rsidR="006B606A">
        <w:t>2010,</w:t>
      </w:r>
      <w:r w:rsidR="00855B30" w:rsidRPr="006B606A">
        <w:t xml:space="preserve"> </w:t>
      </w:r>
      <w:r w:rsidR="00855B30" w:rsidRPr="006B606A">
        <w:rPr>
          <w:bCs/>
        </w:rPr>
        <w:t>45</w:t>
      </w:r>
      <w:r w:rsidR="006B606A">
        <w:t>,</w:t>
      </w:r>
      <w:r w:rsidR="00855B30" w:rsidRPr="006B606A">
        <w:t xml:space="preserve"> 904</w:t>
      </w:r>
      <w:r w:rsidR="006B606A">
        <w:rPr>
          <w:rFonts w:hAnsi="Arial" w:cs="Arial"/>
        </w:rPr>
        <w:t>-9</w:t>
      </w:r>
      <w:r w:rsidR="00855B30" w:rsidRPr="00136830">
        <w:t>21.</w:t>
      </w:r>
    </w:p>
    <w:p w:rsidR="00485D77" w:rsidRPr="00485D77" w:rsidRDefault="00855B30" w:rsidP="0075458D">
      <w:pPr>
        <w:pStyle w:val="Lijstalinea"/>
        <w:numPr>
          <w:ilvl w:val="0"/>
          <w:numId w:val="25"/>
        </w:numPr>
        <w:spacing w:line="480" w:lineRule="auto"/>
        <w:jc w:val="both"/>
        <w:rPr>
          <w:rFonts w:cs="Arial"/>
          <w:color w:val="000000"/>
          <w:shd w:val="clear" w:color="auto" w:fill="FFFFFF"/>
        </w:rPr>
      </w:pPr>
      <w:r w:rsidRPr="00136830">
        <w:t xml:space="preserve">Aiken LH, Buchan J, Ball J, Rafferty AM. Transformative impact of Magnet designation: England case </w:t>
      </w:r>
      <w:r w:rsidRPr="006B606A">
        <w:t xml:space="preserve">study. </w:t>
      </w:r>
      <w:r w:rsidRPr="006B606A">
        <w:rPr>
          <w:iCs/>
        </w:rPr>
        <w:t xml:space="preserve">J </w:t>
      </w:r>
      <w:proofErr w:type="spellStart"/>
      <w:r w:rsidRPr="006B606A">
        <w:rPr>
          <w:iCs/>
        </w:rPr>
        <w:t>Clin</w:t>
      </w:r>
      <w:proofErr w:type="spellEnd"/>
      <w:r w:rsidRPr="006B606A">
        <w:rPr>
          <w:iCs/>
        </w:rPr>
        <w:t xml:space="preserve"> </w:t>
      </w:r>
      <w:proofErr w:type="spellStart"/>
      <w:r w:rsidRPr="006B606A">
        <w:rPr>
          <w:iCs/>
        </w:rPr>
        <w:t>Nurs</w:t>
      </w:r>
      <w:proofErr w:type="spellEnd"/>
      <w:r w:rsidR="006B606A">
        <w:t xml:space="preserve"> 2008,</w:t>
      </w:r>
      <w:r w:rsidRPr="006B606A">
        <w:t xml:space="preserve"> </w:t>
      </w:r>
      <w:r w:rsidRPr="006B606A">
        <w:rPr>
          <w:bCs/>
        </w:rPr>
        <w:t>17</w:t>
      </w:r>
      <w:r w:rsidR="006B606A">
        <w:rPr>
          <w:bCs/>
        </w:rPr>
        <w:t>,</w:t>
      </w:r>
      <w:r w:rsidRPr="00136830">
        <w:t xml:space="preserve"> 3330-3337.</w:t>
      </w:r>
    </w:p>
    <w:p w:rsidR="00A2293F" w:rsidRPr="00485D77" w:rsidRDefault="00855B30" w:rsidP="0075458D">
      <w:pPr>
        <w:pStyle w:val="Lijstalinea"/>
        <w:numPr>
          <w:ilvl w:val="0"/>
          <w:numId w:val="25"/>
        </w:numPr>
        <w:spacing w:line="480" w:lineRule="auto"/>
        <w:jc w:val="both"/>
        <w:rPr>
          <w:rFonts w:cs="Arial"/>
          <w:color w:val="000000"/>
          <w:shd w:val="clear" w:color="auto" w:fill="FFFFFF"/>
        </w:rPr>
      </w:pPr>
      <w:r w:rsidRPr="00136830">
        <w:t>World Health Organization. Global Priorities for Patient Safety Research. Geneva: World Health Organization, 2009. Available at http://whglibdoc.who.int/publications/2009/ 9789241598620_eng.pdf (19 December 2011date last accessed).</w:t>
      </w:r>
    </w:p>
    <w:p w:rsidR="00485D77" w:rsidRPr="00485D77" w:rsidRDefault="008A46D3" w:rsidP="00485D77">
      <w:pPr>
        <w:pStyle w:val="Lijstalinea"/>
        <w:numPr>
          <w:ilvl w:val="0"/>
          <w:numId w:val="25"/>
        </w:numPr>
        <w:spacing w:line="480" w:lineRule="auto"/>
        <w:rPr>
          <w:lang w:val="en-GB" w:eastAsia="en-GB"/>
        </w:rPr>
      </w:pPr>
      <w:proofErr w:type="spellStart"/>
      <w:r>
        <w:rPr>
          <w:lang w:val="en-GB" w:eastAsia="en-GB"/>
        </w:rPr>
        <w:t>Simoens</w:t>
      </w:r>
      <w:proofErr w:type="spellEnd"/>
      <w:r>
        <w:rPr>
          <w:lang w:val="en-GB" w:eastAsia="en-GB"/>
        </w:rPr>
        <w:t xml:space="preserve"> S, </w:t>
      </w:r>
      <w:r w:rsidR="00485D77" w:rsidRPr="00136830">
        <w:rPr>
          <w:lang w:val="en-GB" w:eastAsia="en-GB"/>
        </w:rPr>
        <w:t xml:space="preserve">Villeneuve </w:t>
      </w:r>
      <w:r>
        <w:rPr>
          <w:lang w:val="en-GB" w:eastAsia="en-GB"/>
        </w:rPr>
        <w:t xml:space="preserve">M and </w:t>
      </w:r>
      <w:r w:rsidR="00485D77" w:rsidRPr="00136830">
        <w:rPr>
          <w:lang w:val="en-GB" w:eastAsia="en-GB"/>
        </w:rPr>
        <w:t>Hurst</w:t>
      </w:r>
      <w:r>
        <w:rPr>
          <w:lang w:val="en-GB" w:eastAsia="en-GB"/>
        </w:rPr>
        <w:t xml:space="preserve"> J. </w:t>
      </w:r>
      <w:r w:rsidR="00485D77" w:rsidRPr="00136830">
        <w:rPr>
          <w:lang w:val="en-GB" w:eastAsia="en-GB"/>
        </w:rPr>
        <w:t>Tackling Nurse Shortages in OECD Countries, OECD Health Working Paper, No. 19, OECD</w:t>
      </w:r>
      <w:r>
        <w:rPr>
          <w:lang w:val="en-GB" w:eastAsia="en-GB"/>
        </w:rPr>
        <w:t xml:space="preserve"> 2005</w:t>
      </w:r>
      <w:r w:rsidR="00485D77" w:rsidRPr="00136830">
        <w:rPr>
          <w:lang w:val="en-GB" w:eastAsia="en-GB"/>
        </w:rPr>
        <w:t>, Paris.</w:t>
      </w:r>
    </w:p>
    <w:p w:rsidR="001D4D92" w:rsidRDefault="001D4D92" w:rsidP="001D4D92">
      <w:pPr>
        <w:spacing w:line="360" w:lineRule="auto"/>
        <w:rPr>
          <w:lang w:val="en-GB" w:eastAsia="en-GB"/>
        </w:rPr>
      </w:pPr>
    </w:p>
    <w:p w:rsidR="001D4D92" w:rsidRDefault="001D4D92" w:rsidP="001D4D92">
      <w:pPr>
        <w:spacing w:line="360" w:lineRule="auto"/>
        <w:rPr>
          <w:lang w:val="en-GB" w:eastAsia="en-GB"/>
        </w:rPr>
      </w:pPr>
    </w:p>
    <w:p w:rsidR="00482196" w:rsidRDefault="00482196" w:rsidP="001D4D92">
      <w:pPr>
        <w:spacing w:line="360" w:lineRule="auto"/>
        <w:rPr>
          <w:lang w:val="en-GB" w:eastAsia="en-GB"/>
        </w:rPr>
      </w:pPr>
    </w:p>
    <w:p w:rsidR="00A62F4E" w:rsidRDefault="00BF76BA" w:rsidP="00A62F4E">
      <w:pPr>
        <w:shd w:val="clear" w:color="auto" w:fill="FFFFFF"/>
        <w:spacing w:after="0" w:line="480" w:lineRule="auto"/>
        <w:jc w:val="both"/>
        <w:rPr>
          <w:rFonts w:eastAsia="Times New Roman" w:cs="Arial"/>
          <w:b/>
          <w:lang w:val="en-US" w:eastAsia="nl-BE"/>
        </w:rPr>
      </w:pPr>
      <w:r>
        <w:rPr>
          <w:rFonts w:eastAsia="Times New Roman" w:cs="Arial"/>
          <w:b/>
          <w:lang w:val="en-US" w:eastAsia="nl-BE"/>
        </w:rPr>
        <w:lastRenderedPageBreak/>
        <w:t>D</w:t>
      </w:r>
      <w:r w:rsidR="00855B30" w:rsidRPr="00136830">
        <w:rPr>
          <w:rFonts w:eastAsia="Times New Roman" w:cs="Arial"/>
          <w:b/>
          <w:lang w:val="en-US" w:eastAsia="nl-BE"/>
        </w:rPr>
        <w:t>escription of the potential impact and the main dissemination activities a</w:t>
      </w:r>
      <w:r>
        <w:rPr>
          <w:rFonts w:eastAsia="Times New Roman" w:cs="Arial"/>
          <w:b/>
          <w:lang w:val="en-US" w:eastAsia="nl-BE"/>
        </w:rPr>
        <w:t>nd the exploitation of results (</w:t>
      </w:r>
      <w:r w:rsidR="00855B30" w:rsidRPr="00136830">
        <w:rPr>
          <w:rFonts w:eastAsia="Times New Roman" w:cs="Arial"/>
          <w:b/>
          <w:lang w:val="en-US" w:eastAsia="nl-BE"/>
        </w:rPr>
        <w:t>10 pages</w:t>
      </w:r>
      <w:r>
        <w:rPr>
          <w:rFonts w:eastAsia="Times New Roman" w:cs="Arial"/>
          <w:b/>
          <w:lang w:val="en-US" w:eastAsia="nl-BE"/>
        </w:rPr>
        <w:t>)</w:t>
      </w:r>
    </w:p>
    <w:p w:rsidR="00796325" w:rsidRPr="00796325" w:rsidRDefault="00796325" w:rsidP="00796325">
      <w:pPr>
        <w:pStyle w:val="Lijstalinea"/>
        <w:numPr>
          <w:ilvl w:val="0"/>
          <w:numId w:val="23"/>
        </w:numPr>
        <w:shd w:val="clear" w:color="auto" w:fill="FFFFFF"/>
        <w:spacing w:after="0" w:line="480" w:lineRule="auto"/>
        <w:jc w:val="both"/>
        <w:rPr>
          <w:rFonts w:eastAsia="Times New Roman" w:cs="Arial"/>
          <w:lang w:eastAsia="nl-BE"/>
        </w:rPr>
      </w:pPr>
      <w:r w:rsidRPr="00796325">
        <w:rPr>
          <w:rFonts w:eastAsia="Times New Roman" w:cs="Arial"/>
          <w:lang w:eastAsia="nl-BE"/>
        </w:rPr>
        <w:t>Societal implications</w:t>
      </w:r>
    </w:p>
    <w:p w:rsidR="004B4601" w:rsidRDefault="00D20F68" w:rsidP="004B4601">
      <w:pPr>
        <w:spacing w:line="480" w:lineRule="auto"/>
        <w:jc w:val="both"/>
        <w:rPr>
          <w:rFonts w:eastAsia="Times New Roman" w:cs="Arial"/>
          <w:b/>
          <w:lang w:val="en-US" w:eastAsia="nl-BE"/>
        </w:rPr>
      </w:pPr>
      <w:r w:rsidRPr="003C3D8A">
        <w:rPr>
          <w:lang w:val="en-US"/>
        </w:rPr>
        <w:t xml:space="preserve">The RN4CAST project has made an important contribution to both the intended impacts identified in call 2012.3.2-1 and to the wider goals of the FP7 Work </w:t>
      </w:r>
      <w:proofErr w:type="spellStart"/>
      <w:r w:rsidRPr="003C3D8A">
        <w:rPr>
          <w:lang w:val="en-US"/>
        </w:rPr>
        <w:t>Programme</w:t>
      </w:r>
      <w:proofErr w:type="spellEnd"/>
      <w:r w:rsidRPr="003C3D8A">
        <w:rPr>
          <w:lang w:val="en-US"/>
        </w:rPr>
        <w:t xml:space="preserve"> for Health by identifying and addressing opportunities for exploitation and contributing to getting knowledge into practice. </w:t>
      </w:r>
      <w:r w:rsidRPr="00992D68">
        <w:rPr>
          <w:lang w:val="en-US"/>
        </w:rPr>
        <w:t>We have provided new evidence on the association between organizational features of nursing care and nurse wellbeing and patient outcomes.</w:t>
      </w:r>
    </w:p>
    <w:p w:rsidR="00571D8E" w:rsidRPr="009F6B92" w:rsidRDefault="009A53A9" w:rsidP="004B4601">
      <w:pPr>
        <w:spacing w:line="480" w:lineRule="auto"/>
        <w:jc w:val="both"/>
        <w:rPr>
          <w:rFonts w:eastAsia="Times New Roman" w:cs="Arial"/>
          <w:b/>
          <w:lang w:val="en-US" w:eastAsia="nl-BE"/>
        </w:rPr>
      </w:pPr>
      <w:r>
        <w:rPr>
          <w:lang w:val="en-GB" w:eastAsia="en-IE"/>
        </w:rPr>
        <w:t>A</w:t>
      </w:r>
      <w:r w:rsidR="00571D8E" w:rsidRPr="00136830">
        <w:rPr>
          <w:lang w:val="en-GB" w:eastAsia="en-IE"/>
        </w:rPr>
        <w:t xml:space="preserve"> number of population, education, h</w:t>
      </w:r>
      <w:r w:rsidR="00F2766B">
        <w:rPr>
          <w:lang w:val="en-GB" w:eastAsia="en-IE"/>
        </w:rPr>
        <w:t>ealth systems change and other g</w:t>
      </w:r>
      <w:r w:rsidR="00571D8E" w:rsidRPr="00136830">
        <w:rPr>
          <w:lang w:val="en-GB" w:eastAsia="en-IE"/>
        </w:rPr>
        <w:t>overnment policy related issues will have serious implications for the future of the nursing workforce across Europe if appropriate actions are not taken immediately and in the mid to longer term. In particular, population growth and ageing and associated attrition from the workforce as well as a general increase in the</w:t>
      </w:r>
      <w:r w:rsidR="00373DA9">
        <w:rPr>
          <w:lang w:val="en-GB" w:eastAsia="en-IE"/>
        </w:rPr>
        <w:t xml:space="preserve"> reliance</w:t>
      </w:r>
      <w:r w:rsidR="00571D8E" w:rsidRPr="00136830">
        <w:rPr>
          <w:lang w:val="en-GB" w:eastAsia="en-IE"/>
        </w:rPr>
        <w:t xml:space="preserve"> of the population on health care will increase the need for nursing care into the future. Of significance is the potential impact that changes in the configuration of health care delivery across partner countries will have on the requirement for nurses into the future. </w:t>
      </w:r>
      <w:r w:rsidR="00373DA9">
        <w:rPr>
          <w:lang w:val="en-GB" w:eastAsia="en-IE"/>
        </w:rPr>
        <w:t>T</w:t>
      </w:r>
      <w:r w:rsidR="00571D8E" w:rsidRPr="00136830">
        <w:rPr>
          <w:lang w:val="en-GB" w:eastAsia="en-IE"/>
        </w:rPr>
        <w:t xml:space="preserve">he move to a community care based model of care may or may not impact the number of nurses required within the acute sector. The implication may be that moves to community based care will lead to a reduction in the number of acute hospital beds, however, the ageing population coupled with increasing chronic disease and increased </w:t>
      </w:r>
      <w:r w:rsidR="008D25F3">
        <w:rPr>
          <w:lang w:val="en-GB" w:eastAsia="en-IE"/>
        </w:rPr>
        <w:t>reliance upon</w:t>
      </w:r>
      <w:r w:rsidR="00571D8E" w:rsidRPr="00136830">
        <w:rPr>
          <w:lang w:val="en-GB" w:eastAsia="en-IE"/>
        </w:rPr>
        <w:t xml:space="preserve"> health care may impact inpatient bed requirements i.e. lead to a relatively high level of demand. </w:t>
      </w:r>
    </w:p>
    <w:p w:rsidR="009F6B92" w:rsidRDefault="00571D8E" w:rsidP="004B4601">
      <w:pPr>
        <w:spacing w:line="480" w:lineRule="auto"/>
        <w:jc w:val="both"/>
        <w:rPr>
          <w:lang w:val="en-US"/>
        </w:rPr>
      </w:pPr>
      <w:r w:rsidRPr="00136830">
        <w:rPr>
          <w:lang w:val="en-GB"/>
        </w:rPr>
        <w:t>Our projections infer that nurse to patient ratios within hospitals across the five partner countries discussed</w:t>
      </w:r>
      <w:r w:rsidR="008D25F3">
        <w:rPr>
          <w:lang w:val="en-GB"/>
        </w:rPr>
        <w:t xml:space="preserve"> (</w:t>
      </w:r>
      <w:r w:rsidR="00460CCB">
        <w:rPr>
          <w:lang w:val="en-GB"/>
        </w:rPr>
        <w:t xml:space="preserve">Belgium, England, </w:t>
      </w:r>
      <w:r w:rsidR="008D25F3">
        <w:rPr>
          <w:lang w:val="en-GB"/>
        </w:rPr>
        <w:t>Ireland,</w:t>
      </w:r>
      <w:r w:rsidR="00460CCB">
        <w:rPr>
          <w:lang w:val="en-GB"/>
        </w:rPr>
        <w:t xml:space="preserve"> Norway and Switzerland</w:t>
      </w:r>
      <w:r w:rsidR="008D25F3">
        <w:rPr>
          <w:lang w:val="en-GB"/>
        </w:rPr>
        <w:t>)</w:t>
      </w:r>
      <w:r w:rsidRPr="00136830">
        <w:rPr>
          <w:lang w:val="en-GB"/>
        </w:rPr>
        <w:t xml:space="preserve"> will be reduced as a result of reduced inflows into and increased outflows </w:t>
      </w:r>
      <w:r w:rsidR="00460CCB">
        <w:rPr>
          <w:lang w:val="en-GB"/>
        </w:rPr>
        <w:t>from</w:t>
      </w:r>
      <w:r w:rsidRPr="00136830">
        <w:rPr>
          <w:lang w:val="en-GB"/>
        </w:rPr>
        <w:t xml:space="preserve"> the nursing profession. There is a clear need for the recruitment of new entrants into the nursing professio</w:t>
      </w:r>
      <w:r w:rsidR="00F2766B">
        <w:rPr>
          <w:lang w:val="en-GB"/>
        </w:rPr>
        <w:t>n to maintain and improve nurse-to-</w:t>
      </w:r>
      <w:r w:rsidRPr="00136830">
        <w:rPr>
          <w:lang w:val="en-GB"/>
        </w:rPr>
        <w:t xml:space="preserve">patient ratios at ward level. </w:t>
      </w:r>
      <w:r w:rsidRPr="00136830">
        <w:rPr>
          <w:lang w:val="en-GB" w:eastAsia="en-IE"/>
        </w:rPr>
        <w:t xml:space="preserve">The hypothetical RN4CAST results, based on projected shortages in the nursing </w:t>
      </w:r>
      <w:r w:rsidRPr="00136830">
        <w:rPr>
          <w:lang w:val="en-GB" w:eastAsia="en-IE"/>
        </w:rPr>
        <w:lastRenderedPageBreak/>
        <w:t>workforce, infer that reduced nurse staffing levels will ultimately increase patient mortality rates with serious consequence for patient safety across health services in Europe</w:t>
      </w:r>
      <w:r w:rsidR="002704CF">
        <w:rPr>
          <w:lang w:val="en-GB" w:eastAsia="en-IE"/>
        </w:rPr>
        <w:t>,</w:t>
      </w:r>
      <w:r w:rsidR="00460CCB">
        <w:rPr>
          <w:lang w:val="en-GB" w:eastAsia="en-IE"/>
        </w:rPr>
        <w:t xml:space="preserve"> leading to significant care deficits within as well as across countries</w:t>
      </w:r>
      <w:r w:rsidRPr="00136830">
        <w:rPr>
          <w:lang w:val="en-GB" w:eastAsia="en-IE"/>
        </w:rPr>
        <w:t xml:space="preserve">. These results also infer an increase in nurses leaving the workforce due to burnout and job dissatisfaction. Additionally, burnout and job dissatisfaction within the nursing profession can lead to a negative image of nursing for those considering entry into the profession, with the knock on effect of reducing the supply of nurses i.e. numbers of nurse graduates, into the future. </w:t>
      </w:r>
      <w:r w:rsidR="002704CF">
        <w:rPr>
          <w:lang w:val="en-GB" w:eastAsia="en-IE"/>
        </w:rPr>
        <w:t xml:space="preserve">If care deficits are to be avoided we recommend that the overall thrust of policy formulation and implementation should be directed towards enhancing and sustaining the participation rates of current and future nurses in the workforce. This has a number of key elements.  </w:t>
      </w:r>
      <w:r w:rsidR="002704CF" w:rsidRPr="00136830">
        <w:rPr>
          <w:lang w:val="en-GB" w:eastAsia="en-IE"/>
        </w:rPr>
        <w:t xml:space="preserve"> </w:t>
      </w:r>
    </w:p>
    <w:p w:rsidR="00571D8E" w:rsidRDefault="002704CF" w:rsidP="004B4601">
      <w:pPr>
        <w:spacing w:line="480" w:lineRule="auto"/>
        <w:jc w:val="both"/>
        <w:rPr>
          <w:lang w:val="en-GB" w:eastAsia="en-GB"/>
        </w:rPr>
      </w:pPr>
      <w:r>
        <w:rPr>
          <w:lang w:val="en-GB" w:eastAsia="en-IE"/>
        </w:rPr>
        <w:t>First, i</w:t>
      </w:r>
      <w:r w:rsidR="00571D8E" w:rsidRPr="00136830">
        <w:rPr>
          <w:lang w:val="en-GB" w:eastAsia="en-IE"/>
        </w:rPr>
        <w:t xml:space="preserve">t is essential that we consider the implications of different </w:t>
      </w:r>
      <w:r w:rsidR="00571D8E" w:rsidRPr="00136830">
        <w:rPr>
          <w:lang w:val="en-GB" w:eastAsia="en-GB"/>
        </w:rPr>
        <w:t xml:space="preserve">policy options aimed at increasing inflows into nursing and stemming outflows from the profession. </w:t>
      </w:r>
      <w:r w:rsidRPr="00136830">
        <w:rPr>
          <w:lang w:val="en-GB"/>
        </w:rPr>
        <w:t xml:space="preserve">Increasing </w:t>
      </w:r>
      <w:r>
        <w:rPr>
          <w:lang w:val="en-GB"/>
        </w:rPr>
        <w:t xml:space="preserve">the attractiveness of the workplace throughout the career cycle of nurses as well as </w:t>
      </w:r>
      <w:r w:rsidR="00571D8E" w:rsidRPr="00136830">
        <w:rPr>
          <w:lang w:val="en-GB"/>
        </w:rPr>
        <w:t xml:space="preserve">productivity through strong leadership and the development of healthy work environments </w:t>
      </w:r>
      <w:r w:rsidR="008A1203">
        <w:rPr>
          <w:lang w:val="en-GB"/>
        </w:rPr>
        <w:t>are vital to creating sustainable environments for healthcare</w:t>
      </w:r>
      <w:r w:rsidR="00571D8E" w:rsidRPr="00136830">
        <w:rPr>
          <w:lang w:val="en-GB"/>
        </w:rPr>
        <w:t xml:space="preserve">. </w:t>
      </w:r>
      <w:r w:rsidR="008A1203">
        <w:rPr>
          <w:lang w:val="en-GB"/>
        </w:rPr>
        <w:t>Second, a</w:t>
      </w:r>
      <w:r w:rsidR="00571D8E" w:rsidRPr="00136830">
        <w:rPr>
          <w:lang w:val="en-GB"/>
        </w:rPr>
        <w:t>mbitions to increase efficiencies within health care through moving to a community based mode of care</w:t>
      </w:r>
      <w:r w:rsidR="008A1203">
        <w:rPr>
          <w:lang w:val="en-GB"/>
        </w:rPr>
        <w:t xml:space="preserve"> are</w:t>
      </w:r>
      <w:r w:rsidR="00571D8E" w:rsidRPr="00136830">
        <w:rPr>
          <w:lang w:val="en-GB"/>
        </w:rPr>
        <w:t xml:space="preserve"> likely to be optimised through significant investment in creating positive work environments and in the skills of the workforce. De-skilling the</w:t>
      </w:r>
      <w:r w:rsidR="00571D8E">
        <w:rPr>
          <w:lang w:val="en-GB"/>
        </w:rPr>
        <w:t xml:space="preserve"> workforce</w:t>
      </w:r>
      <w:r w:rsidR="00571D8E" w:rsidRPr="00136830">
        <w:rPr>
          <w:lang w:val="en-GB"/>
        </w:rPr>
        <w:t xml:space="preserve">, </w:t>
      </w:r>
      <w:r w:rsidR="007E51D0">
        <w:rPr>
          <w:lang w:val="en-GB"/>
        </w:rPr>
        <w:t>that is,</w:t>
      </w:r>
      <w:r w:rsidR="00571D8E" w:rsidRPr="00136830">
        <w:rPr>
          <w:lang w:val="en-GB"/>
        </w:rPr>
        <w:t xml:space="preserve"> through the reduction in nursing numbers and/ or the deployment of less qualified ‘nursing’ staff is not supported as cost effective by existing evidence </w:t>
      </w:r>
      <w:r w:rsidR="009C1E5C">
        <w:rPr>
          <w:lang w:val="en-GB" w:eastAsia="en-IE"/>
        </w:rPr>
        <w:t>[1,2]</w:t>
      </w:r>
      <w:r w:rsidR="00571D8E" w:rsidRPr="00136830">
        <w:rPr>
          <w:lang w:val="en-GB" w:eastAsia="en-IE"/>
        </w:rPr>
        <w:t xml:space="preserve"> and is therefore unlikely to succeed as an option in the future organisation of the health service. Rather, investment in the development of a nursing workforce that is skilled in the delivery of primary care services and parallel investment in the development and maintenance of positive work environments is likely to be a more effective way forward.</w:t>
      </w:r>
    </w:p>
    <w:p w:rsidR="00C83E27" w:rsidRDefault="008A1203" w:rsidP="007F46FE">
      <w:pPr>
        <w:spacing w:line="480" w:lineRule="auto"/>
        <w:jc w:val="both"/>
        <w:rPr>
          <w:lang w:val="en-GB"/>
        </w:rPr>
      </w:pPr>
      <w:r>
        <w:rPr>
          <w:lang w:val="en-GB" w:eastAsia="en-GB"/>
        </w:rPr>
        <w:t>Thi</w:t>
      </w:r>
      <w:r w:rsidR="007E51D0">
        <w:rPr>
          <w:lang w:val="en-GB" w:eastAsia="en-GB"/>
        </w:rPr>
        <w:t>r</w:t>
      </w:r>
      <w:r>
        <w:rPr>
          <w:lang w:val="en-GB" w:eastAsia="en-GB"/>
        </w:rPr>
        <w:t>d, i</w:t>
      </w:r>
      <w:r w:rsidR="00571D8E" w:rsidRPr="00136830">
        <w:rPr>
          <w:lang w:val="en-GB" w:eastAsia="en-GB"/>
        </w:rPr>
        <w:t xml:space="preserve">nflows into the nursing profession can be improved by increasing the number of students opting to complete nursing studies at </w:t>
      </w:r>
      <w:r w:rsidRPr="00136830">
        <w:rPr>
          <w:lang w:val="en-GB" w:eastAsia="en-GB"/>
        </w:rPr>
        <w:t>t</w:t>
      </w:r>
      <w:r>
        <w:rPr>
          <w:lang w:val="en-GB" w:eastAsia="en-GB"/>
        </w:rPr>
        <w:t>ertiary</w:t>
      </w:r>
      <w:r w:rsidRPr="00136830">
        <w:rPr>
          <w:lang w:val="en-GB" w:eastAsia="en-GB"/>
        </w:rPr>
        <w:t xml:space="preserve"> </w:t>
      </w:r>
      <w:r w:rsidR="00571D8E" w:rsidRPr="00136830">
        <w:rPr>
          <w:lang w:val="en-GB" w:eastAsia="en-GB"/>
        </w:rPr>
        <w:t>level, and by attracting those who have left the profession back into nursing or by recruiting nurses from overseas.</w:t>
      </w:r>
      <w:r w:rsidR="00571D8E" w:rsidRPr="00136830">
        <w:rPr>
          <w:lang w:val="en-GB"/>
        </w:rPr>
        <w:t xml:space="preserve"> In order to achieve any of the </w:t>
      </w:r>
      <w:r w:rsidR="00571D8E" w:rsidRPr="00136830">
        <w:rPr>
          <w:lang w:val="en-GB"/>
        </w:rPr>
        <w:lastRenderedPageBreak/>
        <w:t xml:space="preserve">above, policy makers need to implement policies that </w:t>
      </w:r>
      <w:r w:rsidR="00C83E27">
        <w:rPr>
          <w:lang w:val="en-GB"/>
        </w:rPr>
        <w:t>are well adapted to the life and career cycles of nurses themselves. Given the average age of the nursing student is increasing and rising age of the national nursing workforces many nurses have families, are planning to have families and have caring responsibilities outside of the workplace.</w:t>
      </w:r>
      <w:r w:rsidR="00A833B3">
        <w:rPr>
          <w:lang w:val="en-GB"/>
        </w:rPr>
        <w:t xml:space="preserve"> </w:t>
      </w:r>
      <w:r w:rsidR="00C83E27">
        <w:rPr>
          <w:lang w:val="en-GB"/>
        </w:rPr>
        <w:t>H</w:t>
      </w:r>
      <w:r w:rsidR="00C83E27" w:rsidRPr="00136830">
        <w:rPr>
          <w:lang w:val="en-GB"/>
        </w:rPr>
        <w:t xml:space="preserve">uman resource policies must be put in place to accommodate the </w:t>
      </w:r>
      <w:r w:rsidR="00C83E27">
        <w:rPr>
          <w:lang w:val="en-GB"/>
        </w:rPr>
        <w:t xml:space="preserve">age profile as well as the </w:t>
      </w:r>
      <w:r w:rsidR="00C83E27" w:rsidRPr="00136830">
        <w:rPr>
          <w:lang w:val="en-GB"/>
        </w:rPr>
        <w:t>ageing workforce to ensure a satisfied workforce, with low levels of burnout and low levels of intention to leave the profession. We use the term ‘healthy work environments’ to describe the type of workplace that will ultimately serve to facilitate the much needed recruitment of new entrants and re-entrants into the profession as well as serving to reduce outflows and unnecessary attrition from the nursing workforce.</w:t>
      </w:r>
    </w:p>
    <w:p w:rsidR="00571D8E" w:rsidRDefault="00C83E27" w:rsidP="007F46FE">
      <w:pPr>
        <w:spacing w:line="480" w:lineRule="auto"/>
        <w:jc w:val="both"/>
        <w:rPr>
          <w:lang w:val="en-GB"/>
        </w:rPr>
      </w:pPr>
      <w:r>
        <w:rPr>
          <w:lang w:val="en-GB"/>
        </w:rPr>
        <w:t xml:space="preserve">Supporting workplaces to be family-friendly </w:t>
      </w:r>
      <w:r w:rsidRPr="00136830">
        <w:rPr>
          <w:lang w:val="en-GB"/>
        </w:rPr>
        <w:t>will ultimately increase the value and consequently enhance the image of the nursing profession.</w:t>
      </w:r>
      <w:r>
        <w:rPr>
          <w:lang w:val="en-GB"/>
        </w:rPr>
        <w:t xml:space="preserve"> </w:t>
      </w:r>
      <w:r w:rsidR="00571D8E" w:rsidRPr="00136830">
        <w:rPr>
          <w:lang w:val="en-GB"/>
        </w:rPr>
        <w:t>M</w:t>
      </w:r>
      <w:r w:rsidR="00571D8E" w:rsidRPr="00136830">
        <w:rPr>
          <w:lang w:val="en-GB" w:eastAsia="en-GB"/>
        </w:rPr>
        <w:t xml:space="preserve">any women who would have entered nursing in the past are now entering higher value managerial and professional occupations, occupations that were once traditionally male dominated </w:t>
      </w:r>
      <w:r w:rsidR="009C1E5C">
        <w:rPr>
          <w:lang w:val="en-GB" w:eastAsia="en-GB"/>
        </w:rPr>
        <w:t>[3]</w:t>
      </w:r>
      <w:r w:rsidR="00571D8E" w:rsidRPr="00136830">
        <w:rPr>
          <w:lang w:val="en-GB" w:eastAsia="en-GB"/>
        </w:rPr>
        <w:t xml:space="preserve">. </w:t>
      </w:r>
      <w:r w:rsidR="00571D8E" w:rsidRPr="00136830">
        <w:rPr>
          <w:lang w:val="en-GB"/>
        </w:rPr>
        <w:t>Policy options aimed at increasing the value of nursing include the following:</w:t>
      </w:r>
      <w:r w:rsidR="007F46FE">
        <w:rPr>
          <w:lang w:val="en-GB"/>
        </w:rPr>
        <w:t xml:space="preserve"> </w:t>
      </w:r>
      <w:r w:rsidR="007F4348">
        <w:rPr>
          <w:lang w:val="en-GB" w:eastAsia="en-GB"/>
        </w:rPr>
        <w:t>First, m</w:t>
      </w:r>
      <w:r w:rsidR="007F4348" w:rsidRPr="007F46FE">
        <w:rPr>
          <w:lang w:val="en-GB"/>
        </w:rPr>
        <w:t xml:space="preserve">aking </w:t>
      </w:r>
      <w:r w:rsidR="007F4348">
        <w:rPr>
          <w:lang w:val="en-GB"/>
        </w:rPr>
        <w:t xml:space="preserve">workplaces more family friendly and adapted to the demographics of the workforce does not necessarily demand the investment of increased resources. As we have seen nurses are keen to be involved in decisions around how they are managed and this is likely to pay dividends in terms of how nurses respond to the work environment. Findings suggest that this could be a significant but low cost lever for change. Second, making </w:t>
      </w:r>
      <w:r w:rsidR="007F4348" w:rsidRPr="007F46FE">
        <w:rPr>
          <w:lang w:val="en-GB"/>
        </w:rPr>
        <w:t>nurse salaries competitive enough to attract the right quality and quantity of new entrants into the nursing profession. Again, the economic situation in Europe will challenge this recommendation at present but there will be room for salary change in the future</w:t>
      </w:r>
      <w:r w:rsidR="007F4348">
        <w:rPr>
          <w:lang w:val="en-GB"/>
        </w:rPr>
        <w:t>; Third, r</w:t>
      </w:r>
      <w:r w:rsidR="007F4348" w:rsidRPr="00136830">
        <w:rPr>
          <w:lang w:val="en-GB"/>
        </w:rPr>
        <w:t xml:space="preserve">aising the minimum nurse qualification requirements to degree level for countries where this is not currently in place. Increasing numbers of school leavers are opting to go to university to study for a degree </w:t>
      </w:r>
      <w:r w:rsidR="007F4348">
        <w:rPr>
          <w:lang w:val="en-GB"/>
        </w:rPr>
        <w:t>therefore</w:t>
      </w:r>
      <w:r w:rsidR="007F4348" w:rsidRPr="00136830">
        <w:rPr>
          <w:lang w:val="en-GB"/>
        </w:rPr>
        <w:t xml:space="preserve"> making nursing a degree level profession should increase the number of enrolments on nursing courses. </w:t>
      </w:r>
      <w:r w:rsidR="007F4348" w:rsidRPr="00136830">
        <w:rPr>
          <w:lang w:val="en-GB" w:eastAsia="en-GB"/>
        </w:rPr>
        <w:t>Furthermore, nursing units in which there are higher levels of degree educated nurses were found to have better patient outcomes.</w:t>
      </w:r>
    </w:p>
    <w:p w:rsidR="000F5DFC" w:rsidRDefault="00571D8E" w:rsidP="004B2056">
      <w:pPr>
        <w:spacing w:before="100" w:beforeAutospacing="1" w:after="100" w:afterAutospacing="1" w:line="480" w:lineRule="auto"/>
        <w:jc w:val="both"/>
        <w:rPr>
          <w:lang w:val="en-GB"/>
        </w:rPr>
      </w:pPr>
      <w:r w:rsidRPr="00136830">
        <w:rPr>
          <w:lang w:val="en-GB"/>
        </w:rPr>
        <w:lastRenderedPageBreak/>
        <w:t xml:space="preserve">Decreasing outflows from the nursing profession </w:t>
      </w:r>
      <w:r w:rsidR="000F5DFC">
        <w:rPr>
          <w:lang w:val="en-GB"/>
        </w:rPr>
        <w:t>might thus in summary</w:t>
      </w:r>
      <w:r w:rsidR="000F5DFC" w:rsidRPr="00136830">
        <w:rPr>
          <w:lang w:val="en-GB"/>
        </w:rPr>
        <w:t xml:space="preserve"> </w:t>
      </w:r>
      <w:r w:rsidRPr="00136830">
        <w:rPr>
          <w:lang w:val="en-GB"/>
        </w:rPr>
        <w:t>be achieved by implementing such policies as:</w:t>
      </w:r>
      <w:r w:rsidR="004B2056">
        <w:rPr>
          <w:lang w:val="en-GB"/>
        </w:rPr>
        <w:t xml:space="preserve"> </w:t>
      </w:r>
    </w:p>
    <w:p w:rsidR="00C25D75" w:rsidRDefault="004B2056" w:rsidP="004B2056">
      <w:pPr>
        <w:spacing w:before="100" w:beforeAutospacing="1" w:after="100" w:afterAutospacing="1" w:line="480" w:lineRule="auto"/>
        <w:jc w:val="both"/>
        <w:rPr>
          <w:lang w:val="en-GB"/>
        </w:rPr>
      </w:pPr>
      <w:r>
        <w:rPr>
          <w:lang w:val="en-GB"/>
        </w:rPr>
        <w:t xml:space="preserve">1. </w:t>
      </w:r>
      <w:r w:rsidR="00571D8E" w:rsidRPr="00136830">
        <w:rPr>
          <w:lang w:val="en-GB"/>
        </w:rPr>
        <w:t>Making the salaries and benefits of nurses attractive enough to prevent overly high levels of attrition from the workforce. This may be challenging given the current econ</w:t>
      </w:r>
      <w:r>
        <w:rPr>
          <w:lang w:val="en-GB"/>
        </w:rPr>
        <w:t>omic difficulties across the EU</w:t>
      </w:r>
      <w:r w:rsidR="00C25D75">
        <w:rPr>
          <w:lang w:val="en-GB"/>
        </w:rPr>
        <w:t>.</w:t>
      </w:r>
    </w:p>
    <w:p w:rsidR="00C25D75" w:rsidRDefault="004B2056" w:rsidP="004B2056">
      <w:pPr>
        <w:spacing w:before="100" w:beforeAutospacing="1" w:after="100" w:afterAutospacing="1" w:line="480" w:lineRule="auto"/>
        <w:jc w:val="both"/>
        <w:rPr>
          <w:lang w:val="en-GB"/>
        </w:rPr>
      </w:pPr>
      <w:r>
        <w:rPr>
          <w:lang w:val="en-GB"/>
        </w:rPr>
        <w:t xml:space="preserve">2. </w:t>
      </w:r>
      <w:r w:rsidR="00571D8E" w:rsidRPr="00136830">
        <w:rPr>
          <w:lang w:val="en-GB"/>
        </w:rPr>
        <w:t>Provision of non-monetary incentives to stay in the workplace e.g. positive feedback for work done, career development opportunities, job enrichment and nurse empowerment through for example, the promotion of independent and shared decision making</w:t>
      </w:r>
      <w:r w:rsidR="00C25D75">
        <w:rPr>
          <w:lang w:val="en-GB"/>
        </w:rPr>
        <w:t>.</w:t>
      </w:r>
    </w:p>
    <w:p w:rsidR="007470A5" w:rsidRDefault="004B2056" w:rsidP="004B2056">
      <w:pPr>
        <w:spacing w:before="100" w:beforeAutospacing="1" w:after="100" w:afterAutospacing="1" w:line="480" w:lineRule="auto"/>
        <w:jc w:val="both"/>
        <w:rPr>
          <w:lang w:val="en-GB"/>
        </w:rPr>
      </w:pPr>
      <w:r>
        <w:rPr>
          <w:lang w:val="en-GB"/>
        </w:rPr>
        <w:t>3.</w:t>
      </w:r>
      <w:r w:rsidR="00B25420">
        <w:rPr>
          <w:lang w:val="en-GB"/>
        </w:rPr>
        <w:t xml:space="preserve"> </w:t>
      </w:r>
      <w:r w:rsidR="00571D8E" w:rsidRPr="00136830">
        <w:rPr>
          <w:lang w:val="en-GB"/>
        </w:rPr>
        <w:t>Ensuring that nurses trained to a high level are given the opportunities to exploit their skills in areas such as e.g. nurse prescribing, community nurse-led initiatives such as those in cardiac and diabetes care</w:t>
      </w:r>
      <w:r w:rsidR="007470A5">
        <w:rPr>
          <w:lang w:val="en-GB"/>
        </w:rPr>
        <w:t>.</w:t>
      </w:r>
    </w:p>
    <w:p w:rsidR="007470A5" w:rsidRDefault="004B2056" w:rsidP="004B2056">
      <w:pPr>
        <w:spacing w:before="100" w:beforeAutospacing="1" w:after="100" w:afterAutospacing="1" w:line="480" w:lineRule="auto"/>
        <w:jc w:val="both"/>
        <w:rPr>
          <w:lang w:val="en-GB"/>
        </w:rPr>
      </w:pPr>
      <w:r>
        <w:rPr>
          <w:lang w:val="en-GB"/>
        </w:rPr>
        <w:t xml:space="preserve">4. </w:t>
      </w:r>
      <w:r w:rsidR="00571D8E" w:rsidRPr="00136830">
        <w:rPr>
          <w:lang w:val="en-GB"/>
        </w:rPr>
        <w:t>Potentially increasing the retirement age for nurses (a policy already being considered in many EU countries and across professions)</w:t>
      </w:r>
      <w:r w:rsidR="007470A5">
        <w:rPr>
          <w:lang w:val="en-GB"/>
        </w:rPr>
        <w:t>.</w:t>
      </w:r>
    </w:p>
    <w:p w:rsidR="00571D8E" w:rsidRDefault="004B2056" w:rsidP="004B2056">
      <w:pPr>
        <w:spacing w:before="100" w:beforeAutospacing="1" w:after="100" w:afterAutospacing="1" w:line="480" w:lineRule="auto"/>
        <w:jc w:val="both"/>
        <w:rPr>
          <w:lang w:val="en-GB"/>
        </w:rPr>
      </w:pPr>
      <w:r>
        <w:rPr>
          <w:lang w:val="en-GB"/>
        </w:rPr>
        <w:t>5.</w:t>
      </w:r>
      <w:r w:rsidR="007470A5">
        <w:rPr>
          <w:lang w:val="en-GB"/>
        </w:rPr>
        <w:t xml:space="preserve"> </w:t>
      </w:r>
      <w:r w:rsidR="00571D8E" w:rsidRPr="00136830">
        <w:rPr>
          <w:lang w:val="en-GB"/>
        </w:rPr>
        <w:t xml:space="preserve">Ensuring an appropriate work environment to accommodate an ageing workforce. Loss of older nurses results in a loss of clinical expertise that can </w:t>
      </w:r>
      <w:r w:rsidR="007774F2">
        <w:rPr>
          <w:lang w:val="en-GB"/>
        </w:rPr>
        <w:t>negatively</w:t>
      </w:r>
      <w:r w:rsidR="007774F2" w:rsidRPr="00136830">
        <w:rPr>
          <w:lang w:val="en-GB"/>
        </w:rPr>
        <w:t xml:space="preserve"> </w:t>
      </w:r>
      <w:r w:rsidR="00571D8E" w:rsidRPr="00136830">
        <w:rPr>
          <w:lang w:val="en-GB"/>
        </w:rPr>
        <w:t>impact patient outcomes. With this in mind human resource managers should implement policies that aim to retain older, more experienced nurses</w:t>
      </w:r>
      <w:r w:rsidR="00DB109A">
        <w:rPr>
          <w:lang w:val="en-GB"/>
        </w:rPr>
        <w:t xml:space="preserve"> and succession plan in a manner that ensures cascading of skills from the more to the less experienced staff</w:t>
      </w:r>
      <w:r w:rsidR="00DB109A" w:rsidRPr="00136830">
        <w:rPr>
          <w:lang w:val="en-GB"/>
        </w:rPr>
        <w:t>.</w:t>
      </w:r>
      <w:r w:rsidR="00571D8E" w:rsidRPr="00136830">
        <w:rPr>
          <w:lang w:val="en-GB"/>
        </w:rPr>
        <w:t xml:space="preserve"> These policies might include for example:</w:t>
      </w:r>
    </w:p>
    <w:p w:rsidR="00571D8E" w:rsidRDefault="00571D8E" w:rsidP="004F081E">
      <w:pPr>
        <w:numPr>
          <w:ilvl w:val="0"/>
          <w:numId w:val="5"/>
        </w:numPr>
        <w:spacing w:before="100" w:beforeAutospacing="1" w:after="100" w:afterAutospacing="1" w:line="480" w:lineRule="auto"/>
        <w:jc w:val="both"/>
        <w:rPr>
          <w:lang w:val="en-GB"/>
        </w:rPr>
      </w:pPr>
      <w:r w:rsidRPr="00136830">
        <w:rPr>
          <w:lang w:val="en-GB"/>
        </w:rPr>
        <w:t>Ensuring supportive and flexible work arrangements and practices (e.g. modified workloads, flexible scheduling options, reduction in hours of work, etc.)</w:t>
      </w:r>
    </w:p>
    <w:p w:rsidR="00571D8E" w:rsidRDefault="00571D8E" w:rsidP="004F081E">
      <w:pPr>
        <w:numPr>
          <w:ilvl w:val="0"/>
          <w:numId w:val="5"/>
        </w:numPr>
        <w:spacing w:before="100" w:beforeAutospacing="1" w:after="100" w:afterAutospacing="1" w:line="480" w:lineRule="auto"/>
        <w:jc w:val="both"/>
        <w:rPr>
          <w:lang w:val="en-GB"/>
        </w:rPr>
      </w:pPr>
      <w:r w:rsidRPr="00136830">
        <w:rPr>
          <w:lang w:val="en-GB"/>
        </w:rPr>
        <w:t>An organisational culture that promotes participation in decision-making and autonomy over practice</w:t>
      </w:r>
    </w:p>
    <w:p w:rsidR="00571D8E" w:rsidRDefault="00571D8E" w:rsidP="004F081E">
      <w:pPr>
        <w:numPr>
          <w:ilvl w:val="0"/>
          <w:numId w:val="5"/>
        </w:numPr>
        <w:spacing w:before="100" w:beforeAutospacing="1" w:after="100" w:afterAutospacing="1" w:line="480" w:lineRule="auto"/>
        <w:jc w:val="both"/>
        <w:rPr>
          <w:lang w:val="en-GB"/>
        </w:rPr>
      </w:pPr>
      <w:r w:rsidRPr="00136830">
        <w:rPr>
          <w:lang w:val="en-GB"/>
        </w:rPr>
        <w:t>Work recognition, encouragement and positive feedback from supervisors.</w:t>
      </w:r>
    </w:p>
    <w:p w:rsidR="00571D8E" w:rsidRDefault="00571D8E" w:rsidP="004F081E">
      <w:pPr>
        <w:numPr>
          <w:ilvl w:val="0"/>
          <w:numId w:val="5"/>
        </w:numPr>
        <w:spacing w:before="100" w:beforeAutospacing="1" w:after="100" w:afterAutospacing="1" w:line="480" w:lineRule="auto"/>
        <w:jc w:val="both"/>
        <w:rPr>
          <w:lang w:val="en-GB"/>
        </w:rPr>
      </w:pPr>
      <w:r w:rsidRPr="00136830">
        <w:rPr>
          <w:lang w:val="en-GB"/>
        </w:rPr>
        <w:lastRenderedPageBreak/>
        <w:t>Ergonomically friendly, safe and effective work environments</w:t>
      </w:r>
      <w:r w:rsidR="004F081E">
        <w:rPr>
          <w:lang w:val="en-GB"/>
        </w:rPr>
        <w:t>.</w:t>
      </w:r>
    </w:p>
    <w:p w:rsidR="00571D8E" w:rsidRDefault="00571D8E" w:rsidP="004F081E">
      <w:pPr>
        <w:numPr>
          <w:ilvl w:val="0"/>
          <w:numId w:val="5"/>
        </w:numPr>
        <w:spacing w:before="100" w:beforeAutospacing="1" w:after="100" w:afterAutospacing="1" w:line="480" w:lineRule="auto"/>
        <w:jc w:val="both"/>
        <w:rPr>
          <w:lang w:val="en-GB"/>
        </w:rPr>
      </w:pPr>
      <w:r w:rsidRPr="00136830">
        <w:rPr>
          <w:lang w:val="en-GB"/>
        </w:rPr>
        <w:t>Access to professional development activities that target t</w:t>
      </w:r>
      <w:r w:rsidR="004F081E">
        <w:rPr>
          <w:lang w:val="en-GB"/>
        </w:rPr>
        <w:t>he needs of experienced nurses [4].</w:t>
      </w:r>
    </w:p>
    <w:p w:rsidR="00571D8E" w:rsidRDefault="00571D8E" w:rsidP="00A62F4E">
      <w:pPr>
        <w:spacing w:before="100" w:beforeAutospacing="1" w:after="100" w:afterAutospacing="1" w:line="480" w:lineRule="auto"/>
        <w:jc w:val="both"/>
        <w:rPr>
          <w:spacing w:val="2"/>
          <w:lang w:val="en-GB" w:eastAsia="en-IE"/>
        </w:rPr>
      </w:pPr>
      <w:r w:rsidRPr="00136830">
        <w:rPr>
          <w:lang w:val="en-GB"/>
        </w:rPr>
        <w:t xml:space="preserve">Our main policy recommendations centre around the development and maintenance of healthy work environments to both attract and retain high quality staff. Healthy work environments are consistently characterised by </w:t>
      </w:r>
      <w:r w:rsidRPr="00136830">
        <w:rPr>
          <w:lang w:val="en-GB" w:eastAsia="en-GB"/>
        </w:rPr>
        <w:t>the support, leadership and empowerment of visionary leaders</w:t>
      </w:r>
      <w:r w:rsidR="004F081E">
        <w:rPr>
          <w:lang w:val="en-GB" w:eastAsia="en-GB"/>
        </w:rPr>
        <w:t xml:space="preserve"> </w:t>
      </w:r>
      <w:r w:rsidR="00DB109A">
        <w:rPr>
          <w:lang w:val="en-GB" w:eastAsia="en-GB"/>
        </w:rPr>
        <w:t xml:space="preserve">who are in tune with the workforce </w:t>
      </w:r>
      <w:r w:rsidR="004F081E">
        <w:rPr>
          <w:lang w:val="en-GB" w:eastAsia="en-GB"/>
        </w:rPr>
        <w:t>[5]</w:t>
      </w:r>
      <w:r w:rsidRPr="00136830">
        <w:rPr>
          <w:lang w:val="en-GB" w:eastAsia="en-GB"/>
        </w:rPr>
        <w:t>. Work environments that value the contribution of the workforce, offer shared and delegated professional decision making, provide staff with opportunities to develop their skill set and build collaborative and supportive structures are healthier, more productive environments in which people want to work. Implementation of management structures and staff training that promote</w:t>
      </w:r>
      <w:r w:rsidRPr="00136830">
        <w:rPr>
          <w:lang w:val="en-GB"/>
        </w:rPr>
        <w:t xml:space="preserve"> </w:t>
      </w:r>
      <w:r w:rsidRPr="00136830">
        <w:rPr>
          <w:lang w:val="en-GB" w:eastAsia="en-GB"/>
        </w:rPr>
        <w:t xml:space="preserve">inter and intra-disciplinary collaboration as well as shared decision-making could increase the attractiveness of the nursing profession to potential new entrants. </w:t>
      </w:r>
      <w:r w:rsidRPr="00136830">
        <w:rPr>
          <w:lang w:val="en-GB"/>
        </w:rPr>
        <w:t>Strong nurse leaders can create a work environment characterised by an organizational climate that promotes shared decision making and employee development including opportunities for advancement and collaboration.</w:t>
      </w:r>
    </w:p>
    <w:p w:rsidR="00571D8E" w:rsidRDefault="00571D8E" w:rsidP="00A62F4E">
      <w:pPr>
        <w:autoSpaceDE w:val="0"/>
        <w:autoSpaceDN w:val="0"/>
        <w:adjustRightInd w:val="0"/>
        <w:spacing w:line="480" w:lineRule="auto"/>
        <w:jc w:val="both"/>
        <w:rPr>
          <w:lang w:val="en-GB"/>
        </w:rPr>
      </w:pPr>
      <w:r w:rsidRPr="00136830">
        <w:rPr>
          <w:lang w:val="en-GB"/>
        </w:rPr>
        <w:t xml:space="preserve">Nurse leadership is critical to the successful development of healthy work environments. However, past nurse training and practice is thought to have resulted in a lack of focus on the importance of leadership within the realm of human resource management in nursing. This has led to a need for focus on the development of strong leadership in the nursing profession globally, something the International Council of </w:t>
      </w:r>
      <w:r w:rsidR="004F081E">
        <w:rPr>
          <w:lang w:val="en-GB"/>
        </w:rPr>
        <w:t>Nurses has recently highlighted</w:t>
      </w:r>
      <w:r w:rsidRPr="00136830">
        <w:rPr>
          <w:lang w:val="en-GB"/>
        </w:rPr>
        <w:t>.</w:t>
      </w:r>
    </w:p>
    <w:p w:rsidR="00571D8E" w:rsidRDefault="00571D8E" w:rsidP="00A62F4E">
      <w:pPr>
        <w:autoSpaceDE w:val="0"/>
        <w:autoSpaceDN w:val="0"/>
        <w:adjustRightInd w:val="0"/>
        <w:spacing w:line="480" w:lineRule="auto"/>
        <w:jc w:val="both"/>
        <w:rPr>
          <w:lang w:val="en-GB"/>
        </w:rPr>
      </w:pPr>
      <w:r w:rsidRPr="00136830">
        <w:rPr>
          <w:lang w:val="en-GB"/>
        </w:rPr>
        <w:t xml:space="preserve">Reid and Weller </w:t>
      </w:r>
      <w:r w:rsidR="004F081E">
        <w:rPr>
          <w:lang w:val="en-GB"/>
        </w:rPr>
        <w:t>[6]</w:t>
      </w:r>
      <w:r w:rsidRPr="00136830">
        <w:rPr>
          <w:lang w:val="en-GB"/>
        </w:rPr>
        <w:t xml:space="preserve"> have proposed a competency framework detailing six domains of practice for nursing human resources planning and management to focus on in the development of competent nurse leaders who promote staff development, empower employees, encourage and support shared decision making and collegial collaboration and ultimately create attractive work environments. We recommend the adoption of this framework which includes the following domains:</w:t>
      </w:r>
    </w:p>
    <w:p w:rsidR="00571D8E" w:rsidRDefault="00571D8E" w:rsidP="00A62F4E">
      <w:pPr>
        <w:pStyle w:val="Lijstalinea"/>
        <w:numPr>
          <w:ilvl w:val="0"/>
          <w:numId w:val="6"/>
        </w:numPr>
        <w:autoSpaceDE w:val="0"/>
        <w:autoSpaceDN w:val="0"/>
        <w:adjustRightInd w:val="0"/>
        <w:spacing w:line="480" w:lineRule="auto"/>
        <w:jc w:val="both"/>
        <w:rPr>
          <w:lang w:val="en-GB"/>
        </w:rPr>
      </w:pPr>
      <w:r w:rsidRPr="00136830">
        <w:rPr>
          <w:lang w:val="en-GB"/>
        </w:rPr>
        <w:lastRenderedPageBreak/>
        <w:t xml:space="preserve">The ethics and standards domain, which details competencies required to ensure nurses practice within an ethical and professional practice framework. </w:t>
      </w:r>
    </w:p>
    <w:p w:rsidR="00571D8E" w:rsidRDefault="00571D8E" w:rsidP="00A62F4E">
      <w:pPr>
        <w:pStyle w:val="Lijstalinea"/>
        <w:numPr>
          <w:ilvl w:val="0"/>
          <w:numId w:val="6"/>
        </w:numPr>
        <w:autoSpaceDE w:val="0"/>
        <w:autoSpaceDN w:val="0"/>
        <w:adjustRightInd w:val="0"/>
        <w:spacing w:line="480" w:lineRule="auto"/>
        <w:jc w:val="both"/>
        <w:rPr>
          <w:lang w:val="en-GB"/>
        </w:rPr>
      </w:pPr>
      <w:r w:rsidRPr="00136830">
        <w:rPr>
          <w:lang w:val="en-GB"/>
        </w:rPr>
        <w:t>The resource management domain, which details competencies required of a leader to effectively administer and organise relevant records and personnel systems</w:t>
      </w:r>
      <w:r w:rsidR="002E62B2">
        <w:rPr>
          <w:lang w:val="en-GB"/>
        </w:rPr>
        <w:t>.</w:t>
      </w:r>
    </w:p>
    <w:p w:rsidR="00571D8E" w:rsidRDefault="00571D8E" w:rsidP="00A62F4E">
      <w:pPr>
        <w:pStyle w:val="Lijstalinea"/>
        <w:numPr>
          <w:ilvl w:val="0"/>
          <w:numId w:val="6"/>
        </w:numPr>
        <w:autoSpaceDE w:val="0"/>
        <w:autoSpaceDN w:val="0"/>
        <w:adjustRightInd w:val="0"/>
        <w:spacing w:line="480" w:lineRule="auto"/>
        <w:jc w:val="both"/>
        <w:rPr>
          <w:lang w:val="en-GB"/>
        </w:rPr>
      </w:pPr>
      <w:r w:rsidRPr="00136830">
        <w:rPr>
          <w:lang w:val="en-GB"/>
        </w:rPr>
        <w:t>The workforce planning domain, which includes for example the development of competencies relating to developing projections of staffing levels required to deliver on goals and priorities; implementing changes to service delivery; developing and implementing strategies to recruit and retain staff and identifying and implementing measures to improve quality and productivity</w:t>
      </w:r>
    </w:p>
    <w:p w:rsidR="00571D8E" w:rsidRDefault="00571D8E" w:rsidP="00A62F4E">
      <w:pPr>
        <w:pStyle w:val="Lijstalinea"/>
        <w:numPr>
          <w:ilvl w:val="0"/>
          <w:numId w:val="6"/>
        </w:numPr>
        <w:autoSpaceDE w:val="0"/>
        <w:autoSpaceDN w:val="0"/>
        <w:adjustRightInd w:val="0"/>
        <w:spacing w:line="480" w:lineRule="auto"/>
        <w:jc w:val="both"/>
        <w:rPr>
          <w:lang w:val="en-GB"/>
        </w:rPr>
      </w:pPr>
      <w:r w:rsidRPr="00136830">
        <w:rPr>
          <w:bCs/>
          <w:lang w:val="en-GB"/>
        </w:rPr>
        <w:t xml:space="preserve">The work environment domain, which involves the creation of a positive work environment </w:t>
      </w:r>
      <w:r w:rsidRPr="00136830">
        <w:rPr>
          <w:lang w:val="en-GB"/>
        </w:rPr>
        <w:t>by ensuring that the safety and security of staff is maximized; that the physical environment, facilities and equipment are adequate; that staff feel valued and have opportunities to contribute to planning, problem solving and decision making; and a work-life balance is promoted</w:t>
      </w:r>
    </w:p>
    <w:p w:rsidR="00571D8E" w:rsidRDefault="00571D8E" w:rsidP="00A62F4E">
      <w:pPr>
        <w:pStyle w:val="Lijstalinea"/>
        <w:numPr>
          <w:ilvl w:val="0"/>
          <w:numId w:val="6"/>
        </w:numPr>
        <w:autoSpaceDE w:val="0"/>
        <w:autoSpaceDN w:val="0"/>
        <w:adjustRightInd w:val="0"/>
        <w:spacing w:line="480" w:lineRule="auto"/>
        <w:jc w:val="both"/>
        <w:rPr>
          <w:lang w:val="en-GB"/>
        </w:rPr>
      </w:pPr>
      <w:r w:rsidRPr="00136830">
        <w:rPr>
          <w:bCs/>
          <w:lang w:val="en-GB"/>
        </w:rPr>
        <w:t xml:space="preserve">The staff management, support and performance domain, which involves the provision of </w:t>
      </w:r>
      <w:r w:rsidRPr="00136830">
        <w:rPr>
          <w:lang w:val="en-GB"/>
        </w:rPr>
        <w:t>opportunities for ongoing training, education and professional development and growth for staff. Staff are supported by management and this support helps attract, develop and retain the nursing workforce in an enabling work environment</w:t>
      </w:r>
    </w:p>
    <w:p w:rsidR="00571D8E" w:rsidRDefault="00571D8E" w:rsidP="00A62F4E">
      <w:pPr>
        <w:pStyle w:val="Lijstalinea"/>
        <w:numPr>
          <w:ilvl w:val="0"/>
          <w:numId w:val="6"/>
        </w:numPr>
        <w:autoSpaceDE w:val="0"/>
        <w:autoSpaceDN w:val="0"/>
        <w:adjustRightInd w:val="0"/>
        <w:spacing w:line="480" w:lineRule="auto"/>
        <w:jc w:val="both"/>
        <w:rPr>
          <w:lang w:val="en-GB"/>
        </w:rPr>
      </w:pPr>
      <w:r w:rsidRPr="00136830">
        <w:rPr>
          <w:bCs/>
          <w:lang w:val="en-GB"/>
        </w:rPr>
        <w:t xml:space="preserve">The leadership </w:t>
      </w:r>
      <w:r w:rsidRPr="00136830">
        <w:rPr>
          <w:lang w:val="en-GB"/>
        </w:rPr>
        <w:t xml:space="preserve">domain involves ensuring the individual leader has the knowledge, skills and capacities to empower those around him/her and to harness their strengths toward collective effort </w:t>
      </w:r>
      <w:r w:rsidR="00EC1836">
        <w:rPr>
          <w:lang w:val="en-GB"/>
        </w:rPr>
        <w:t>[6]</w:t>
      </w:r>
      <w:r w:rsidRPr="00136830">
        <w:rPr>
          <w:lang w:val="en-GB"/>
        </w:rPr>
        <w:t>.</w:t>
      </w:r>
    </w:p>
    <w:p w:rsidR="00571D8E" w:rsidRDefault="00571D8E" w:rsidP="00A62F4E">
      <w:pPr>
        <w:spacing w:line="480" w:lineRule="auto"/>
        <w:jc w:val="both"/>
        <w:rPr>
          <w:lang w:val="en-GB"/>
        </w:rPr>
      </w:pPr>
      <w:r w:rsidRPr="00136830">
        <w:rPr>
          <w:bCs/>
          <w:lang w:val="en-GB"/>
        </w:rPr>
        <w:t xml:space="preserve">Closely linked to the development of strong nurse leadership and healthy work environments is the development of high performance work teams. </w:t>
      </w:r>
      <w:r w:rsidRPr="00136830">
        <w:rPr>
          <w:lang w:val="en-GB"/>
        </w:rPr>
        <w:t xml:space="preserve">High performance health care teams, including collaborative nurse-physician teams have been found to improve patient care and patient safety, organisational effectiveness and health care delivery in general. These positive outcomes are realised through the impact that effective teamwork can have on employee satisfaction, reducing perceived levels of burnout among staff and increasing staff intention to stay in the workplace </w:t>
      </w:r>
      <w:r w:rsidR="00EC1836">
        <w:rPr>
          <w:lang w:val="en-GB"/>
        </w:rPr>
        <w:t>[8-10]</w:t>
      </w:r>
      <w:r w:rsidRPr="00136830">
        <w:rPr>
          <w:lang w:val="en-GB"/>
        </w:rPr>
        <w:t xml:space="preserve">. In </w:t>
      </w:r>
      <w:r w:rsidRPr="00136830">
        <w:rPr>
          <w:lang w:val="en-GB"/>
        </w:rPr>
        <w:lastRenderedPageBreak/>
        <w:t xml:space="preserve">recommending the development of effective nursing and interdisciplinary teamwork within health care units, team size needs to be given serious consideration. Experts in the field of ‘teamwork’ recommend that for a team to be effective it should consist of between 5 and 8 members. This however is not the reality in the healthcare environment where a nurse can work with far in excess of this number on a regular basis </w:t>
      </w:r>
      <w:r w:rsidR="00EC1836">
        <w:rPr>
          <w:lang w:val="en-GB"/>
        </w:rPr>
        <w:t>[</w:t>
      </w:r>
      <w:r w:rsidR="00611037">
        <w:rPr>
          <w:lang w:val="en-GB"/>
        </w:rPr>
        <w:t>10</w:t>
      </w:r>
      <w:r w:rsidR="00EC1836">
        <w:rPr>
          <w:lang w:val="en-GB"/>
        </w:rPr>
        <w:t>]</w:t>
      </w:r>
      <w:r w:rsidRPr="00136830">
        <w:rPr>
          <w:lang w:val="en-GB"/>
        </w:rPr>
        <w:t>.</w:t>
      </w:r>
    </w:p>
    <w:p w:rsidR="00571D8E" w:rsidRDefault="00571D8E" w:rsidP="00A62F4E">
      <w:pPr>
        <w:spacing w:line="480" w:lineRule="auto"/>
        <w:jc w:val="both"/>
        <w:rPr>
          <w:lang w:val="en-GB"/>
        </w:rPr>
      </w:pPr>
      <w:r w:rsidRPr="00136830">
        <w:rPr>
          <w:lang w:val="en-GB"/>
        </w:rPr>
        <w:t xml:space="preserve">Familiarity with team members, stability of the team, a shared common purpose and destiny among team members as well as a physical working environment that is conducive to staff engagement are all thought to facilitate high performance teams. </w:t>
      </w:r>
      <w:proofErr w:type="spellStart"/>
      <w:r w:rsidR="003B3832" w:rsidRPr="003B3832">
        <w:rPr>
          <w:lang w:val="en-US"/>
        </w:rPr>
        <w:t>Kalisch</w:t>
      </w:r>
      <w:proofErr w:type="spellEnd"/>
      <w:r w:rsidR="003B3832" w:rsidRPr="003B3832">
        <w:rPr>
          <w:lang w:val="en-US"/>
        </w:rPr>
        <w:t xml:space="preserve"> and </w:t>
      </w:r>
      <w:proofErr w:type="spellStart"/>
      <w:r w:rsidR="003B3832" w:rsidRPr="003B3832">
        <w:rPr>
          <w:lang w:val="en-US"/>
        </w:rPr>
        <w:t>Begeney</w:t>
      </w:r>
      <w:proofErr w:type="spellEnd"/>
      <w:r w:rsidR="003B3832" w:rsidRPr="003B3832">
        <w:rPr>
          <w:lang w:val="en-US"/>
        </w:rPr>
        <w:t xml:space="preserve"> </w:t>
      </w:r>
      <w:r w:rsidR="003B3832">
        <w:rPr>
          <w:lang w:val="en-US"/>
        </w:rPr>
        <w:t xml:space="preserve">[7] </w:t>
      </w:r>
      <w:r w:rsidRPr="00136830">
        <w:rPr>
          <w:lang w:val="en-GB"/>
        </w:rPr>
        <w:t>set out a number of recommendations aimed at achieving effective teams working, we endorse these recommendations as follows:</w:t>
      </w:r>
    </w:p>
    <w:p w:rsidR="00571D8E" w:rsidRDefault="00571D8E" w:rsidP="00A62F4E">
      <w:pPr>
        <w:pStyle w:val="Lijstalinea"/>
        <w:numPr>
          <w:ilvl w:val="0"/>
          <w:numId w:val="7"/>
        </w:numPr>
        <w:spacing w:after="0" w:line="480" w:lineRule="auto"/>
        <w:jc w:val="both"/>
        <w:rPr>
          <w:lang w:val="en-GB"/>
        </w:rPr>
      </w:pPr>
      <w:r w:rsidRPr="00136830">
        <w:rPr>
          <w:lang w:val="en-GB"/>
        </w:rPr>
        <w:t>Wherever possible, develop smaller teams by breaking larger units into a number of smaller units within which teams could consistently work together over a specified period of time, long enough to establish positive team working attributes e.g. familiarity, stability etc.</w:t>
      </w:r>
    </w:p>
    <w:p w:rsidR="00571D8E" w:rsidRDefault="00571D8E" w:rsidP="00A62F4E">
      <w:pPr>
        <w:pStyle w:val="Lijstalinea"/>
        <w:numPr>
          <w:ilvl w:val="0"/>
          <w:numId w:val="7"/>
        </w:numPr>
        <w:spacing w:after="0" w:line="480" w:lineRule="auto"/>
        <w:jc w:val="both"/>
        <w:rPr>
          <w:lang w:val="en-GB"/>
        </w:rPr>
      </w:pPr>
      <w:r w:rsidRPr="00136830">
        <w:rPr>
          <w:lang w:val="en-GB"/>
        </w:rPr>
        <w:t>Cluster larger teams by breaking them down into smaller teams by virtue of patient proximity and the physical environment</w:t>
      </w:r>
    </w:p>
    <w:p w:rsidR="00571D8E" w:rsidRDefault="00571D8E" w:rsidP="00A62F4E">
      <w:pPr>
        <w:pStyle w:val="Lijstalinea"/>
        <w:numPr>
          <w:ilvl w:val="0"/>
          <w:numId w:val="7"/>
        </w:numPr>
        <w:spacing w:after="0" w:line="480" w:lineRule="auto"/>
        <w:jc w:val="both"/>
        <w:rPr>
          <w:lang w:val="en-GB"/>
        </w:rPr>
      </w:pPr>
      <w:r w:rsidRPr="00136830">
        <w:rPr>
          <w:lang w:val="en-GB"/>
        </w:rPr>
        <w:t>Consider the move from a mix of both 8 and 12 hour shifts to consistent shifts durations to limit the redistribution of patients to staff remaining on longer shifts and consequently increasing the consistency of staff interactions</w:t>
      </w:r>
    </w:p>
    <w:p w:rsidR="00571D8E" w:rsidRDefault="00571D8E" w:rsidP="00A62F4E">
      <w:pPr>
        <w:pStyle w:val="Lijstalinea"/>
        <w:numPr>
          <w:ilvl w:val="0"/>
          <w:numId w:val="7"/>
        </w:numPr>
        <w:spacing w:after="0" w:line="480" w:lineRule="auto"/>
        <w:jc w:val="both"/>
        <w:rPr>
          <w:lang w:val="en-GB"/>
        </w:rPr>
      </w:pPr>
      <w:r w:rsidRPr="00136830">
        <w:rPr>
          <w:lang w:val="en-GB"/>
        </w:rPr>
        <w:t>Reduce staff turnover and absenteeism through the development of collegial relationships, loyalties and increased satisfaction among team members. This has the knock on effect of increasing team stability, resulting in better patient and staff outcomes</w:t>
      </w:r>
    </w:p>
    <w:p w:rsidR="00571D8E" w:rsidRDefault="00571D8E" w:rsidP="00A62F4E">
      <w:pPr>
        <w:pStyle w:val="Lijstalinea"/>
        <w:numPr>
          <w:ilvl w:val="0"/>
          <w:numId w:val="7"/>
        </w:numPr>
        <w:spacing w:after="0" w:line="480" w:lineRule="auto"/>
        <w:jc w:val="both"/>
        <w:rPr>
          <w:lang w:val="en-GB"/>
        </w:rPr>
      </w:pPr>
      <w:r w:rsidRPr="00136830">
        <w:rPr>
          <w:lang w:val="en-GB"/>
        </w:rPr>
        <w:t>Reward staff to increase their intrinsic motivation. This is not necessarily done through monetary reward, but rather through reward via positive feedback in recognition of work done, the provision of career development opportunities and empowerment through devolvement of decision making to staff members</w:t>
      </w:r>
    </w:p>
    <w:p w:rsidR="00611037" w:rsidRDefault="00571D8E" w:rsidP="00611037">
      <w:pPr>
        <w:spacing w:before="100" w:beforeAutospacing="1" w:after="100" w:afterAutospacing="1" w:line="480" w:lineRule="auto"/>
        <w:jc w:val="both"/>
        <w:rPr>
          <w:spacing w:val="2"/>
          <w:lang w:val="en-GB" w:eastAsia="en-IE"/>
        </w:rPr>
      </w:pPr>
      <w:r w:rsidRPr="00136830">
        <w:rPr>
          <w:lang w:val="en-GB" w:eastAsia="en-GB"/>
        </w:rPr>
        <w:lastRenderedPageBreak/>
        <w:t xml:space="preserve">To conclude, policy makers need to be very aware of the impact of organisational characteristics such as leadership, team work, rewards systems and job flexibility on how nurses view their workplace and ultimately on nurse recruitment and retention. Nursing leaders and managers need to be fully aware of the </w:t>
      </w:r>
      <w:r w:rsidR="000D077A">
        <w:rPr>
          <w:lang w:val="en-GB" w:eastAsia="en-GB"/>
        </w:rPr>
        <w:t>nurses’</w:t>
      </w:r>
      <w:r w:rsidR="00A247FD">
        <w:rPr>
          <w:lang w:val="en-GB" w:eastAsia="en-GB"/>
        </w:rPr>
        <w:t xml:space="preserve"> </w:t>
      </w:r>
      <w:r w:rsidRPr="00136830">
        <w:rPr>
          <w:lang w:val="en-GB" w:eastAsia="en-GB"/>
        </w:rPr>
        <w:t xml:space="preserve">levels of job satisfaction, burnout and intention to stay or leave their job so that they know when to act in the interest of maintaining a healthy work environment. Leaders and managers in the nursing profession should equip themselves on an ongoing basis with the evidence and information required to improve job satisfaction, interdisciplinary teamwork, and retention, ultimately improving the quality of health care delivery. Indeed, the usefulness of this information would likely be considerably improved if it were linked with ongoing patient-safety monitoring and quality-improvement activities within the organization </w:t>
      </w:r>
      <w:r w:rsidR="00EC1836">
        <w:rPr>
          <w:lang w:val="en-GB" w:eastAsia="en-GB"/>
        </w:rPr>
        <w:t>[</w:t>
      </w:r>
      <w:r w:rsidR="00611037">
        <w:rPr>
          <w:lang w:val="en-GB" w:eastAsia="en-GB"/>
        </w:rPr>
        <w:t>10</w:t>
      </w:r>
      <w:r w:rsidR="00EC1836">
        <w:rPr>
          <w:lang w:val="en-GB" w:eastAsia="en-GB"/>
        </w:rPr>
        <w:t>]</w:t>
      </w:r>
      <w:r w:rsidRPr="00136830">
        <w:rPr>
          <w:lang w:val="en-GB" w:eastAsia="en-GB"/>
        </w:rPr>
        <w:t xml:space="preserve">. Leaders equipped with evidence can be proactive by assessing both </w:t>
      </w:r>
      <w:r w:rsidR="00A247FD">
        <w:rPr>
          <w:lang w:val="en-GB" w:eastAsia="en-GB"/>
        </w:rPr>
        <w:t>nurse</w:t>
      </w:r>
      <w:r w:rsidR="00A247FD" w:rsidRPr="00136830">
        <w:rPr>
          <w:lang w:val="en-GB" w:eastAsia="en-GB"/>
        </w:rPr>
        <w:t xml:space="preserve"> </w:t>
      </w:r>
      <w:r w:rsidRPr="00136830">
        <w:rPr>
          <w:lang w:val="en-GB" w:eastAsia="en-GB"/>
        </w:rPr>
        <w:t xml:space="preserve">perceptions and </w:t>
      </w:r>
      <w:r w:rsidR="005D37A1">
        <w:rPr>
          <w:lang w:val="en-GB" w:eastAsia="en-GB"/>
        </w:rPr>
        <w:t xml:space="preserve">that </w:t>
      </w:r>
      <w:r w:rsidRPr="00136830">
        <w:rPr>
          <w:lang w:val="en-GB" w:eastAsia="en-GB"/>
        </w:rPr>
        <w:t xml:space="preserve">outcomes to ensure safety processes are adhered to consistently to improve both patient and nurse outcomes. A satisfied workforce, now and in the future, is essential to providing quality care, lower levels of stress and burnout and higher levels of patient safety </w:t>
      </w:r>
      <w:r w:rsidR="00611037">
        <w:rPr>
          <w:lang w:val="en-GB" w:eastAsia="en-GB"/>
        </w:rPr>
        <w:t>[10]</w:t>
      </w:r>
      <w:r w:rsidRPr="00136830">
        <w:rPr>
          <w:lang w:val="en-GB" w:eastAsia="en-GB"/>
        </w:rPr>
        <w:t>. Improving work environments can lead to both increase satisfaction and increased productivity within the workplace.</w:t>
      </w:r>
    </w:p>
    <w:p w:rsidR="00B76EDC" w:rsidRPr="00611037" w:rsidRDefault="00494F23" w:rsidP="00611037">
      <w:pPr>
        <w:spacing w:before="100" w:beforeAutospacing="1" w:after="100" w:afterAutospacing="1" w:line="480" w:lineRule="auto"/>
        <w:jc w:val="both"/>
        <w:rPr>
          <w:spacing w:val="2"/>
          <w:lang w:val="en-GB" w:eastAsia="en-IE"/>
        </w:rPr>
      </w:pPr>
      <w:r w:rsidRPr="000D077A">
        <w:rPr>
          <w:lang w:val="en-GB"/>
        </w:rPr>
        <w:t>Significant change to the</w:t>
      </w:r>
      <w:r w:rsidR="00571D8E" w:rsidRPr="00136830">
        <w:rPr>
          <w:lang w:val="en-GB"/>
        </w:rPr>
        <w:t xml:space="preserve"> way in which health care across many of the partner countries is currently delivered is anticipated with the move from a system of care that is currently based mainly in the acute hospital sector to one that will be based within the community. This is likely to have a notable impact on the delivery of care from a human resource perspective. These new models of care delivery ultimately aim to address problems with the current models by improving the organisation and efficiency of the current primary care infrastructure. This should result in more integrated services with effective primary care teams who work to diagnose, treat, prevent and rehabilitate patients in the community thereby decreasing the need for inpatient care and reducing associated costs. However, the move from secondary care towards primary care will increase the burden already facing community health care personnel, including nurses. Commitment to change at many levels will be required to meet the challenges and build the appropriate capacity into the future. The </w:t>
      </w:r>
      <w:r w:rsidR="00571D8E" w:rsidRPr="00136830">
        <w:rPr>
          <w:lang w:val="en-GB"/>
        </w:rPr>
        <w:lastRenderedPageBreak/>
        <w:t xml:space="preserve">aspiration is that an increase in patients attending community health services will lead to a parallel decrease in those attending hospital services. If the planned move to a primary care model is fully and successfully implemented, it is assumed that it will lead to a decreased requirement for nurses working in the acute hospital setting across many partner countries. It is therefore essential that, in line with change, nurses receive appropriate training and development opportunities to prepare them for the increased demand for community based care. This will include training and development for nurses across </w:t>
      </w:r>
      <w:r w:rsidR="00571D8E" w:rsidRPr="00456D0B">
        <w:rPr>
          <w:lang w:val="en-GB"/>
        </w:rPr>
        <w:t xml:space="preserve">specialties. </w:t>
      </w:r>
      <w:r w:rsidR="00B76EDC" w:rsidRPr="00456D0B">
        <w:rPr>
          <w:lang w:val="en-GB"/>
        </w:rPr>
        <w:t>Work from within the RN4CAST consortium directly supports the argument that moving care out of acute settings does not mean that the issue of nurse staf</w:t>
      </w:r>
      <w:r w:rsidR="00235BD0" w:rsidRPr="00456D0B">
        <w:rPr>
          <w:lang w:val="en-GB"/>
        </w:rPr>
        <w:t xml:space="preserve">fing does not equally apply to other care settings. Griffiths </w:t>
      </w:r>
      <w:r w:rsidR="00547864" w:rsidRPr="00456D0B">
        <w:rPr>
          <w:lang w:val="en-GB"/>
        </w:rPr>
        <w:t>and colleagues</w:t>
      </w:r>
      <w:r w:rsidR="00235BD0" w:rsidRPr="00456D0B">
        <w:rPr>
          <w:lang w:val="en-GB"/>
        </w:rPr>
        <w:t xml:space="preserve"> showed that </w:t>
      </w:r>
      <w:r w:rsidR="00685D1B" w:rsidRPr="00456D0B">
        <w:rPr>
          <w:lang w:val="en-GB"/>
        </w:rPr>
        <w:t>there are also associations between nurse staffing and quality of chronic disease management</w:t>
      </w:r>
      <w:r w:rsidR="00456D0B" w:rsidRPr="00456D0B">
        <w:rPr>
          <w:lang w:val="en-GB"/>
        </w:rPr>
        <w:t xml:space="preserve"> [11]</w:t>
      </w:r>
      <w:r w:rsidR="00547864" w:rsidRPr="00456D0B">
        <w:rPr>
          <w:lang w:val="en-GB"/>
        </w:rPr>
        <w:t>.</w:t>
      </w:r>
      <w:r w:rsidR="00BC116E">
        <w:rPr>
          <w:color w:val="1F497D"/>
          <w:lang w:val="en-GB"/>
        </w:rPr>
        <w:t xml:space="preserve"> </w:t>
      </w:r>
    </w:p>
    <w:p w:rsidR="00571D8E" w:rsidRDefault="00547864" w:rsidP="00A62F4E">
      <w:pPr>
        <w:spacing w:line="480" w:lineRule="auto"/>
        <w:jc w:val="both"/>
        <w:rPr>
          <w:lang w:val="en-GB"/>
        </w:rPr>
      </w:pPr>
      <w:r>
        <w:rPr>
          <w:lang w:val="en-GB" w:eastAsia="en-IE"/>
        </w:rPr>
        <w:t>A commitment by g</w:t>
      </w:r>
      <w:r w:rsidR="00571D8E" w:rsidRPr="00136830">
        <w:rPr>
          <w:lang w:val="en-GB" w:eastAsia="en-IE"/>
        </w:rPr>
        <w:t>overnments and relevant policy decision makers to the professional development of nurses will mean the provision of adequate funding.</w:t>
      </w:r>
      <w:r w:rsidR="00571D8E" w:rsidRPr="00136830">
        <w:rPr>
          <w:lang w:val="en-GB"/>
        </w:rPr>
        <w:t xml:space="preserve"> In addition, freeing up nurses to apply their skills across more varied health care contexts will be crucial to </w:t>
      </w:r>
      <w:r w:rsidR="00F940DF">
        <w:rPr>
          <w:lang w:val="en-GB"/>
        </w:rPr>
        <w:t>improving</w:t>
      </w:r>
      <w:r w:rsidR="00571D8E" w:rsidRPr="00136830">
        <w:rPr>
          <w:lang w:val="en-GB"/>
        </w:rPr>
        <w:t xml:space="preserve"> any county’s health system model. Further to this, </w:t>
      </w:r>
      <w:r w:rsidR="00571D8E" w:rsidRPr="00136830">
        <w:rPr>
          <w:lang w:val="en-GB" w:eastAsia="en-IE"/>
        </w:rPr>
        <w:t>a commitment to professional development at management level will be essential to a successful move to a primary care based model. Managers will need to show leadership and encouragement to ensure nurses take up professional development opportunities. They will need to provide support through the provision of funding, time</w:t>
      </w:r>
      <w:r w:rsidR="00F940DF">
        <w:rPr>
          <w:lang w:val="en-GB" w:eastAsia="en-IE"/>
        </w:rPr>
        <w:t>,</w:t>
      </w:r>
      <w:r w:rsidR="00571D8E" w:rsidRPr="00136830">
        <w:rPr>
          <w:lang w:val="en-GB" w:eastAsia="en-IE"/>
        </w:rPr>
        <w:t xml:space="preserve"> and through the fostering of an atmosphere of collegial support.</w:t>
      </w:r>
      <w:r w:rsidR="00571D8E" w:rsidRPr="00136830">
        <w:rPr>
          <w:b/>
          <w:lang w:val="en-GB"/>
        </w:rPr>
        <w:t xml:space="preserve"> </w:t>
      </w:r>
    </w:p>
    <w:p w:rsidR="00571D8E" w:rsidRDefault="00571D8E" w:rsidP="00A62F4E">
      <w:pPr>
        <w:spacing w:before="100" w:beforeAutospacing="1" w:after="100" w:afterAutospacing="1" w:line="480" w:lineRule="auto"/>
        <w:jc w:val="both"/>
        <w:rPr>
          <w:lang w:val="en-GB" w:eastAsia="en-IE"/>
        </w:rPr>
      </w:pPr>
      <w:r w:rsidRPr="00136830">
        <w:rPr>
          <w:spacing w:val="2"/>
          <w:lang w:val="en-GB" w:eastAsia="en-IE"/>
        </w:rPr>
        <w:t xml:space="preserve">Of note is the fact that, while some argue that such a move to primary care will decrease the need for nursing care in the acute sector this argument is contested when considered in light of the ageing demographic and the consequential increased need for acute, long term and residential care beds. </w:t>
      </w:r>
      <w:r w:rsidRPr="00136830">
        <w:rPr>
          <w:bCs/>
          <w:spacing w:val="2"/>
          <w:lang w:val="en-GB" w:eastAsia="en-IE"/>
        </w:rPr>
        <w:t xml:space="preserve">Government policy in for example Ireland, England, Norway and Switzerland among other EU partner countries to reduce the number of in-patients in hospitals by moving to an integrated health system model with an increased emphasis on primary care, is set against the backdrop of </w:t>
      </w:r>
      <w:r w:rsidRPr="00136830">
        <w:rPr>
          <w:lang w:val="en-GB"/>
        </w:rPr>
        <w:t xml:space="preserve">an ageing population. In Ireland for example, by 2036 it is projected that there will be </w:t>
      </w:r>
      <w:r w:rsidRPr="00136830">
        <w:rPr>
          <w:lang w:val="en-GB"/>
        </w:rPr>
        <w:lastRenderedPageBreak/>
        <w:t>more elderly than young persons in the population. The Economic and Social Research Institute in Ireland predict that significant population ageing will occur to 2021 with the number of those aged 85 years and over more than doubling from 48,000 to nearly 106,000 and those aged 74-84 years increasing by over a half from 157,000 to 248,000. This would bring the proportion of older people in the population from one of the lowest in th</w:t>
      </w:r>
      <w:r w:rsidR="00456D0B">
        <w:rPr>
          <w:lang w:val="en-GB"/>
        </w:rPr>
        <w:t>e OECD to above average by 2021</w:t>
      </w:r>
      <w:r w:rsidRPr="00136830">
        <w:rPr>
          <w:lang w:val="en-GB"/>
        </w:rPr>
        <w:t xml:space="preserve">. This in turn would ultimately lead to an increase in the requirement for acute hospital beds and nurses at the bedside. So, there is a very specific challenge associated with decreasing acute hospital bed usage in light of the fact that 'high users' of these beds are elderly, often suffering from multiple morbidities and chronic conditions </w:t>
      </w:r>
      <w:r w:rsidR="00611037">
        <w:rPr>
          <w:lang w:val="en-GB"/>
        </w:rPr>
        <w:t>[1</w:t>
      </w:r>
      <w:r w:rsidR="00F739AB">
        <w:rPr>
          <w:lang w:val="en-GB"/>
        </w:rPr>
        <w:t>2</w:t>
      </w:r>
      <w:r w:rsidR="00611037">
        <w:rPr>
          <w:lang w:val="en-GB"/>
        </w:rPr>
        <w:t>]</w:t>
      </w:r>
      <w:r w:rsidRPr="00136830">
        <w:rPr>
          <w:lang w:val="en-GB"/>
        </w:rPr>
        <w:t xml:space="preserve">. Furthermore, </w:t>
      </w:r>
      <w:r w:rsidRPr="00136830">
        <w:rPr>
          <w:lang w:val="en-GB" w:eastAsia="en-IE"/>
        </w:rPr>
        <w:t>strengthening community health service delivery includes a requirement for nurses equipped to take service delivery leadership roles in the development and roll out of nursing led services.</w:t>
      </w:r>
    </w:p>
    <w:p w:rsidR="00796325" w:rsidRPr="00796325" w:rsidRDefault="00796325" w:rsidP="00A62F4E">
      <w:pPr>
        <w:pStyle w:val="Lijstalinea"/>
        <w:numPr>
          <w:ilvl w:val="0"/>
          <w:numId w:val="23"/>
        </w:numPr>
        <w:spacing w:line="480" w:lineRule="auto"/>
        <w:jc w:val="both"/>
        <w:rPr>
          <w:rFonts w:cs="Arial"/>
        </w:rPr>
      </w:pPr>
      <w:r w:rsidRPr="00796325">
        <w:rPr>
          <w:rFonts w:eastAsia="Times New Roman" w:cs="Arial"/>
          <w:lang w:eastAsia="nl-BE"/>
        </w:rPr>
        <w:t>Dissemination activities and the exploitation of results</w:t>
      </w:r>
    </w:p>
    <w:p w:rsidR="00EB3766" w:rsidRPr="00CC1DFE" w:rsidRDefault="00EB3766" w:rsidP="00EB3766">
      <w:pPr>
        <w:spacing w:line="480" w:lineRule="auto"/>
        <w:jc w:val="both"/>
        <w:rPr>
          <w:rFonts w:cs="Cambria"/>
          <w:color w:val="000000"/>
          <w:lang w:val="en-US"/>
        </w:rPr>
      </w:pPr>
      <w:r w:rsidRPr="00EB3766">
        <w:rPr>
          <w:rFonts w:cs="Arial"/>
          <w:lang w:val="en-US"/>
        </w:rPr>
        <w:t xml:space="preserve">Our dissemination and exploitation activities ensured that the findings of our study are recognized and validated on a wide scale. </w:t>
      </w:r>
      <w:r w:rsidRPr="00CC1DFE">
        <w:rPr>
          <w:rFonts w:cs="Arial"/>
          <w:lang w:val="en-US"/>
        </w:rPr>
        <w:t xml:space="preserve">We completed initiatives to appropriate policy makers and human resources managers in an organization, national, and international context. </w:t>
      </w:r>
      <w:r w:rsidRPr="00CC1DFE">
        <w:rPr>
          <w:rFonts w:cs="Cambria"/>
          <w:color w:val="000000"/>
          <w:lang w:val="en-US"/>
        </w:rPr>
        <w:t xml:space="preserve">Key to the achievement of our goals has been the efforts of single partners’ and multi-partner initiatives in exploiting opportunities to generate exposure of the project. This was due to the RN4CAST consortium being based on previous collaborations between the involved partners and the existing strong ties with policy making some of our partners had. </w:t>
      </w:r>
    </w:p>
    <w:p w:rsidR="00A2293F" w:rsidRPr="0023713D" w:rsidRDefault="00855B30" w:rsidP="0023713D">
      <w:pPr>
        <w:spacing w:line="480" w:lineRule="auto"/>
        <w:jc w:val="both"/>
        <w:rPr>
          <w:rFonts w:cs="Arial"/>
          <w:lang w:val="en-US"/>
        </w:rPr>
      </w:pPr>
      <w:r w:rsidRPr="00EB3766">
        <w:rPr>
          <w:rFonts w:cs="Cambria"/>
          <w:color w:val="000000"/>
          <w:lang w:val="en-US"/>
        </w:rPr>
        <w:t>We have strive</w:t>
      </w:r>
      <w:r w:rsidR="00F940DF">
        <w:rPr>
          <w:rFonts w:cs="Cambria"/>
          <w:color w:val="000000"/>
          <w:lang w:val="en-US"/>
        </w:rPr>
        <w:t>n</w:t>
      </w:r>
      <w:r w:rsidRPr="00EB3766">
        <w:rPr>
          <w:rFonts w:cs="Cambria"/>
          <w:color w:val="000000"/>
          <w:lang w:val="en-US"/>
        </w:rPr>
        <w:t xml:space="preserve"> to achieve dissemination and exploitation goals by adhering to a series of guiding principles</w:t>
      </w:r>
      <w:r w:rsidR="00EB3766">
        <w:rPr>
          <w:rFonts w:cs="Cambria"/>
          <w:color w:val="000000"/>
          <w:lang w:val="en-US"/>
        </w:rPr>
        <w:t xml:space="preserve">: 1. </w:t>
      </w:r>
      <w:r w:rsidRPr="00EB3766">
        <w:rPr>
          <w:rFonts w:cs="Arial"/>
          <w:lang w:val="en-US"/>
        </w:rPr>
        <w:t>Continuously identify stakeholders on a national and international level, reference gr</w:t>
      </w:r>
      <w:r w:rsidR="00EB3766" w:rsidRPr="00EB3766">
        <w:rPr>
          <w:rFonts w:cs="Arial"/>
          <w:lang w:val="en-US"/>
        </w:rPr>
        <w:t>oups, and core EU-policy makers</w:t>
      </w:r>
      <w:r w:rsidR="00EB3766">
        <w:rPr>
          <w:rFonts w:cs="Arial"/>
          <w:lang w:val="en-US"/>
        </w:rPr>
        <w:t xml:space="preserve">; 2. </w:t>
      </w:r>
      <w:r w:rsidRPr="00EB3766">
        <w:rPr>
          <w:rFonts w:cs="Arial"/>
          <w:lang w:val="en-US"/>
        </w:rPr>
        <w:t>Endeavour to actively liaise with these national and int</w:t>
      </w:r>
      <w:r w:rsidR="00EB3766" w:rsidRPr="00EB3766">
        <w:rPr>
          <w:rFonts w:cs="Arial"/>
          <w:lang w:val="en-US"/>
        </w:rPr>
        <w:t>ernational stakeholder groups</w:t>
      </w:r>
      <w:r w:rsidR="00EB3766">
        <w:rPr>
          <w:rFonts w:cs="Arial"/>
          <w:lang w:val="en-US"/>
        </w:rPr>
        <w:t xml:space="preserve">; 3. </w:t>
      </w:r>
      <w:r w:rsidRPr="00EB3766">
        <w:rPr>
          <w:rFonts w:cs="Arial"/>
          <w:lang w:val="en-US"/>
        </w:rPr>
        <w:t>Endeavour to actively liaise with ongoing European initiatives</w:t>
      </w:r>
      <w:r w:rsidR="0023713D">
        <w:rPr>
          <w:rFonts w:cs="Arial"/>
          <w:lang w:val="en-US"/>
        </w:rPr>
        <w:t xml:space="preserve"> related to the RN4CAST context; 4. </w:t>
      </w:r>
      <w:r w:rsidRPr="0023713D">
        <w:rPr>
          <w:rFonts w:cs="Arial"/>
          <w:lang w:val="en-US"/>
        </w:rPr>
        <w:t>E</w:t>
      </w:r>
      <w:r w:rsidRPr="0023713D">
        <w:rPr>
          <w:rFonts w:cs="Cambria"/>
          <w:color w:val="000000"/>
          <w:lang w:val="en-US"/>
        </w:rPr>
        <w:t xml:space="preserve">stablish close collaborative contacts with related (EU-funded) </w:t>
      </w:r>
      <w:r w:rsidRPr="0023713D">
        <w:rPr>
          <w:rFonts w:cs="Cambria"/>
          <w:color w:val="000000"/>
          <w:lang w:val="en-US"/>
        </w:rPr>
        <w:lastRenderedPageBreak/>
        <w:t>projects</w:t>
      </w:r>
      <w:r w:rsidR="0023713D" w:rsidRPr="0023713D">
        <w:rPr>
          <w:rFonts w:cs="Cambria"/>
          <w:color w:val="000000"/>
          <w:lang w:val="en-US"/>
        </w:rPr>
        <w:t>; 5. P</w:t>
      </w:r>
      <w:r w:rsidRPr="0023713D">
        <w:rPr>
          <w:rFonts w:cs="Cambria"/>
          <w:color w:val="000000"/>
          <w:lang w:val="en-US"/>
        </w:rPr>
        <w:t>ublish project findings in relevant international scientific journals</w:t>
      </w:r>
      <w:r w:rsidR="0023713D">
        <w:rPr>
          <w:rFonts w:cs="Cambria"/>
          <w:color w:val="000000"/>
          <w:lang w:val="en-US"/>
        </w:rPr>
        <w:t>; 6.</w:t>
      </w:r>
      <w:r w:rsidRPr="0023713D">
        <w:rPr>
          <w:rFonts w:cs="Cambria"/>
          <w:color w:val="000000"/>
          <w:lang w:val="en-US"/>
        </w:rPr>
        <w:t>Organize seminars/conferences to share the project’s findings</w:t>
      </w:r>
      <w:r w:rsidR="0023713D">
        <w:rPr>
          <w:rFonts w:cs="Cambria"/>
          <w:color w:val="000000"/>
          <w:lang w:val="en-US"/>
        </w:rPr>
        <w:t>; and 7</w:t>
      </w:r>
      <w:r w:rsidR="0052290F">
        <w:rPr>
          <w:rFonts w:cs="Cambria"/>
          <w:color w:val="000000"/>
          <w:lang w:val="en-US"/>
        </w:rPr>
        <w:t>.</w:t>
      </w:r>
      <w:r w:rsidR="0023713D">
        <w:rPr>
          <w:rFonts w:cs="Cambria"/>
          <w:color w:val="000000"/>
          <w:lang w:val="en-US"/>
        </w:rPr>
        <w:t xml:space="preserve"> </w:t>
      </w:r>
      <w:r w:rsidRPr="0023713D">
        <w:rPr>
          <w:rFonts w:cs="Cambria"/>
          <w:color w:val="000000"/>
          <w:lang w:val="en-US"/>
        </w:rPr>
        <w:t>Maintain a dedicated public web site.</w:t>
      </w:r>
    </w:p>
    <w:p w:rsidR="0023713D" w:rsidRDefault="00855B30" w:rsidP="0023713D">
      <w:pPr>
        <w:spacing w:line="480" w:lineRule="auto"/>
        <w:jc w:val="both"/>
        <w:rPr>
          <w:rFonts w:cs="Arial"/>
          <w:lang w:val="en-US"/>
        </w:rPr>
      </w:pPr>
      <w:r>
        <w:rPr>
          <w:rFonts w:cs="Cambria"/>
          <w:color w:val="000000"/>
          <w:lang w:val="en-US"/>
        </w:rPr>
        <w:t xml:space="preserve">Our dissemination and exploitation activities commenced at the start of the project, were continued throughout the whole duration of the project, and will continue beyond the </w:t>
      </w:r>
      <w:r>
        <w:rPr>
          <w:rFonts w:cs="Arial"/>
          <w:lang w:val="en-US"/>
        </w:rPr>
        <w:t xml:space="preserve">completion of the project. </w:t>
      </w:r>
      <w:r w:rsidRPr="00197DE2">
        <w:rPr>
          <w:lang w:val="en-GB" w:eastAsia="es-ES"/>
        </w:rPr>
        <w:t>With the organization of three future major publication and dissemination events, the RN4CAST consortium aims at continuing to generate</w:t>
      </w:r>
      <w:r w:rsidRPr="00197DE2">
        <w:rPr>
          <w:lang w:val="en-US"/>
        </w:rPr>
        <w:t xml:space="preserve"> knowledge on the RN4CAST project findings.</w:t>
      </w:r>
      <w:r w:rsidR="00C22AC4">
        <w:rPr>
          <w:lang w:val="en-US"/>
        </w:rPr>
        <w:t xml:space="preserve"> For 2012, we plan to launch a book </w:t>
      </w:r>
      <w:r w:rsidRPr="00197DE2">
        <w:rPr>
          <w:lang w:val="en-US"/>
        </w:rPr>
        <w:t>within the European Observatory on Health Systems and Poli</w:t>
      </w:r>
      <w:r w:rsidR="00C22AC4">
        <w:rPr>
          <w:lang w:val="en-US"/>
        </w:rPr>
        <w:t xml:space="preserve">cies OUP series, complete </w:t>
      </w:r>
      <w:r w:rsidRPr="00197DE2">
        <w:rPr>
          <w:lang w:val="en-US" w:eastAsia="es-ES"/>
        </w:rPr>
        <w:t xml:space="preserve">an RN4CAST special issue </w:t>
      </w:r>
      <w:r w:rsidR="002A24D2">
        <w:rPr>
          <w:lang w:val="en-US" w:eastAsia="es-ES"/>
        </w:rPr>
        <w:t>in the peer-reviewed</w:t>
      </w:r>
      <w:r w:rsidR="00F739AB">
        <w:rPr>
          <w:lang w:val="en-US" w:eastAsia="es-ES"/>
        </w:rPr>
        <w:t xml:space="preserve"> </w:t>
      </w:r>
      <w:r w:rsidRPr="00197DE2">
        <w:rPr>
          <w:lang w:val="en-US" w:eastAsia="es-ES"/>
        </w:rPr>
        <w:t xml:space="preserve">International Journal of Nursing </w:t>
      </w:r>
      <w:r w:rsidR="002A24D2">
        <w:rPr>
          <w:lang w:val="en-US" w:eastAsia="es-ES"/>
        </w:rPr>
        <w:t>S</w:t>
      </w:r>
      <w:r w:rsidRPr="00197DE2">
        <w:rPr>
          <w:lang w:val="en-US" w:eastAsia="es-ES"/>
        </w:rPr>
        <w:t xml:space="preserve">tudies </w:t>
      </w:r>
      <w:r w:rsidRPr="00197DE2">
        <w:rPr>
          <w:lang w:val="en-US"/>
        </w:rPr>
        <w:t xml:space="preserve">with room for comparative collaborative papers, discussion papers, </w:t>
      </w:r>
      <w:r w:rsidR="008C48C0">
        <w:rPr>
          <w:lang w:val="en-US"/>
        </w:rPr>
        <w:t>and a review, and o</w:t>
      </w:r>
      <w:proofErr w:type="spellStart"/>
      <w:r w:rsidR="008C48C0">
        <w:rPr>
          <w:lang w:val="en-GB"/>
        </w:rPr>
        <w:t>rganize</w:t>
      </w:r>
      <w:proofErr w:type="spellEnd"/>
      <w:r w:rsidR="008C48C0">
        <w:rPr>
          <w:lang w:val="en-GB"/>
        </w:rPr>
        <w:t xml:space="preserve"> an</w:t>
      </w:r>
      <w:r w:rsidRPr="00197DE2">
        <w:rPr>
          <w:lang w:val="en-GB"/>
        </w:rPr>
        <w:t xml:space="preserve"> international conference </w:t>
      </w:r>
      <w:r w:rsidRPr="00197DE2">
        <w:rPr>
          <w:rStyle w:val="apple-style-span"/>
          <w:lang w:val="en-GB"/>
        </w:rPr>
        <w:t xml:space="preserve">‘Nursing workforce and quality of care in European hospitals’ </w:t>
      </w:r>
      <w:r w:rsidRPr="00197DE2">
        <w:rPr>
          <w:lang w:val="en-GB"/>
        </w:rPr>
        <w:t>on 14 September 2012 in Basel, Switzerland (</w:t>
      </w:r>
      <w:r w:rsidRPr="00197DE2">
        <w:rPr>
          <w:rStyle w:val="apple-style-span"/>
          <w:lang w:val="en-GB"/>
        </w:rPr>
        <w:t xml:space="preserve">http://nursing.unibas.ch/rn4cast). </w:t>
      </w:r>
      <w:r w:rsidR="0023713D">
        <w:rPr>
          <w:rFonts w:cs="Arial"/>
          <w:lang w:val="en-US"/>
        </w:rPr>
        <w:t xml:space="preserve">All </w:t>
      </w:r>
      <w:r w:rsidR="0023713D" w:rsidRPr="00FB45AD">
        <w:rPr>
          <w:rFonts w:cs="Arial"/>
          <w:lang w:val="en-US"/>
        </w:rPr>
        <w:t xml:space="preserve">dissemination activities and publications in the project </w:t>
      </w:r>
      <w:r w:rsidR="0023713D">
        <w:rPr>
          <w:rFonts w:cs="Arial"/>
          <w:lang w:val="en-US"/>
        </w:rPr>
        <w:t>have</w:t>
      </w:r>
      <w:r w:rsidR="0023713D" w:rsidRPr="00FB45AD">
        <w:rPr>
          <w:rFonts w:cs="Arial"/>
          <w:lang w:val="en-US"/>
        </w:rPr>
        <w:t xml:space="preserve"> acknowledge</w:t>
      </w:r>
      <w:r w:rsidR="0023713D">
        <w:rPr>
          <w:rFonts w:cs="Arial"/>
          <w:lang w:val="en-US"/>
        </w:rPr>
        <w:t>d the</w:t>
      </w:r>
      <w:r w:rsidR="0023713D" w:rsidRPr="00FB45AD">
        <w:rPr>
          <w:rFonts w:cs="Arial"/>
          <w:lang w:val="en-US"/>
        </w:rPr>
        <w:t xml:space="preserve"> European Commission's funding</w:t>
      </w:r>
      <w:r w:rsidR="0023713D">
        <w:rPr>
          <w:rFonts w:cs="Arial"/>
          <w:lang w:val="en-US"/>
        </w:rPr>
        <w:t xml:space="preserve"> through the Seventh Framework </w:t>
      </w:r>
      <w:proofErr w:type="spellStart"/>
      <w:r w:rsidR="0023713D">
        <w:rPr>
          <w:rFonts w:cs="Arial"/>
          <w:lang w:val="en-US"/>
        </w:rPr>
        <w:t>Programme</w:t>
      </w:r>
      <w:proofErr w:type="spellEnd"/>
      <w:r w:rsidR="0023713D">
        <w:rPr>
          <w:rFonts w:cs="Arial"/>
          <w:lang w:val="en-US"/>
        </w:rPr>
        <w:t>.</w:t>
      </w:r>
    </w:p>
    <w:p w:rsidR="00BA7F99" w:rsidRDefault="001933AF" w:rsidP="001933AF">
      <w:pPr>
        <w:spacing w:line="480" w:lineRule="auto"/>
        <w:jc w:val="both"/>
        <w:rPr>
          <w:lang w:val="en-US"/>
        </w:rPr>
      </w:pPr>
      <w:r>
        <w:rPr>
          <w:lang w:val="en-US"/>
        </w:rPr>
        <w:t>References:</w:t>
      </w:r>
    </w:p>
    <w:p w:rsidR="00571D8E" w:rsidRPr="008C231D" w:rsidRDefault="008C231D" w:rsidP="00A62F4E">
      <w:pPr>
        <w:pStyle w:val="Lijstalinea"/>
        <w:numPr>
          <w:ilvl w:val="0"/>
          <w:numId w:val="10"/>
        </w:numPr>
        <w:spacing w:line="480" w:lineRule="auto"/>
        <w:rPr>
          <w:lang w:val="en-GB" w:eastAsia="en-GB"/>
        </w:rPr>
      </w:pPr>
      <w:proofErr w:type="spellStart"/>
      <w:r w:rsidRPr="008C231D">
        <w:rPr>
          <w:lang w:val="fr-BE" w:eastAsia="en-IE"/>
        </w:rPr>
        <w:t>Dall</w:t>
      </w:r>
      <w:proofErr w:type="spellEnd"/>
      <w:r w:rsidRPr="008C231D">
        <w:rPr>
          <w:lang w:val="fr-BE" w:eastAsia="en-IE"/>
        </w:rPr>
        <w:t xml:space="preserve"> T,</w:t>
      </w:r>
      <w:r w:rsidR="00571D8E" w:rsidRPr="008C231D">
        <w:rPr>
          <w:lang w:val="fr-BE" w:eastAsia="en-IE"/>
        </w:rPr>
        <w:t xml:space="preserve"> Chen</w:t>
      </w:r>
      <w:r w:rsidRPr="008C231D">
        <w:rPr>
          <w:lang w:val="fr-BE" w:eastAsia="en-IE"/>
        </w:rPr>
        <w:t xml:space="preserve"> Y</w:t>
      </w:r>
      <w:r w:rsidR="00571D8E" w:rsidRPr="008C231D">
        <w:rPr>
          <w:lang w:val="fr-BE" w:eastAsia="en-IE"/>
        </w:rPr>
        <w:t xml:space="preserve">, et al. </w:t>
      </w:r>
      <w:r w:rsidR="00571D8E" w:rsidRPr="008C231D">
        <w:rPr>
          <w:lang w:val="en-GB" w:eastAsia="en-IE"/>
        </w:rPr>
        <w:t xml:space="preserve">The economic value </w:t>
      </w:r>
      <w:r w:rsidRPr="008C231D">
        <w:rPr>
          <w:lang w:val="en-GB" w:eastAsia="en-IE"/>
        </w:rPr>
        <w:t>of professional nursing.</w:t>
      </w:r>
      <w:r w:rsidR="00571D8E" w:rsidRPr="008C231D">
        <w:rPr>
          <w:lang w:val="en-GB" w:eastAsia="en-IE"/>
        </w:rPr>
        <w:t xml:space="preserve"> Medical Care </w:t>
      </w:r>
      <w:r w:rsidRPr="008C231D">
        <w:rPr>
          <w:lang w:val="en-GB" w:eastAsia="en-IE"/>
        </w:rPr>
        <w:t xml:space="preserve">2009, </w:t>
      </w:r>
      <w:r w:rsidR="00571D8E" w:rsidRPr="008C231D">
        <w:rPr>
          <w:bCs/>
          <w:lang w:val="en-GB" w:eastAsia="en-IE"/>
        </w:rPr>
        <w:t>47</w:t>
      </w:r>
      <w:r w:rsidRPr="008C231D">
        <w:rPr>
          <w:lang w:val="en-GB" w:eastAsia="en-IE"/>
        </w:rPr>
        <w:t>(1),</w:t>
      </w:r>
      <w:r w:rsidR="00571D8E" w:rsidRPr="008C231D">
        <w:rPr>
          <w:lang w:val="en-GB" w:eastAsia="en-IE"/>
        </w:rPr>
        <w:t xml:space="preserve"> 97.</w:t>
      </w:r>
    </w:p>
    <w:p w:rsidR="00571D8E" w:rsidRPr="008C231D" w:rsidRDefault="00A67F01" w:rsidP="00A62F4E">
      <w:pPr>
        <w:pStyle w:val="Lijstalinea"/>
        <w:numPr>
          <w:ilvl w:val="0"/>
          <w:numId w:val="10"/>
        </w:numPr>
        <w:spacing w:line="480" w:lineRule="auto"/>
        <w:rPr>
          <w:lang w:val="en-GB" w:eastAsia="en-GB"/>
        </w:rPr>
      </w:pPr>
      <w:r>
        <w:rPr>
          <w:lang w:val="en-GB" w:eastAsia="en-IE"/>
        </w:rPr>
        <w:t xml:space="preserve">Kane RL, </w:t>
      </w:r>
      <w:proofErr w:type="spellStart"/>
      <w:r>
        <w:rPr>
          <w:lang w:val="en-GB" w:eastAsia="en-IE"/>
        </w:rPr>
        <w:t>Shamliyan</w:t>
      </w:r>
      <w:proofErr w:type="spellEnd"/>
      <w:r>
        <w:rPr>
          <w:lang w:val="en-GB" w:eastAsia="en-IE"/>
        </w:rPr>
        <w:t>, TA, Mueller C, Duval S, &amp; Wilt TJ</w:t>
      </w:r>
      <w:r w:rsidR="00571D8E" w:rsidRPr="008C231D">
        <w:rPr>
          <w:lang w:val="en-GB" w:eastAsia="en-IE"/>
        </w:rPr>
        <w:t xml:space="preserve">. The association of registered nurse staffing levels and patient outcomes: Systematic review and meta-analysis. </w:t>
      </w:r>
      <w:r w:rsidR="00571D8E" w:rsidRPr="008C231D">
        <w:rPr>
          <w:iCs/>
          <w:lang w:val="en-GB" w:eastAsia="en-IE"/>
        </w:rPr>
        <w:t>Medical Care</w:t>
      </w:r>
      <w:r>
        <w:rPr>
          <w:iCs/>
          <w:lang w:val="en-GB" w:eastAsia="en-IE"/>
        </w:rPr>
        <w:t xml:space="preserve"> 2007</w:t>
      </w:r>
      <w:r w:rsidR="00571D8E" w:rsidRPr="008C231D">
        <w:rPr>
          <w:iCs/>
          <w:lang w:val="en-GB" w:eastAsia="en-IE"/>
        </w:rPr>
        <w:t>, 45</w:t>
      </w:r>
      <w:r w:rsidR="00571D8E" w:rsidRPr="008C231D">
        <w:rPr>
          <w:lang w:val="en-GB" w:eastAsia="en-IE"/>
        </w:rPr>
        <w:t>(12), 1195-1204</w:t>
      </w:r>
      <w:r>
        <w:rPr>
          <w:lang w:val="en-GB" w:eastAsia="en-IE"/>
        </w:rPr>
        <w:t>.</w:t>
      </w:r>
    </w:p>
    <w:p w:rsidR="00571D8E" w:rsidRPr="008C231D" w:rsidRDefault="00A67F01" w:rsidP="00A62F4E">
      <w:pPr>
        <w:pStyle w:val="Lijstalinea"/>
        <w:numPr>
          <w:ilvl w:val="0"/>
          <w:numId w:val="10"/>
        </w:numPr>
        <w:spacing w:line="480" w:lineRule="auto"/>
        <w:rPr>
          <w:lang w:val="en-GB" w:eastAsia="en-GB"/>
        </w:rPr>
      </w:pPr>
      <w:proofErr w:type="spellStart"/>
      <w:r>
        <w:rPr>
          <w:lang w:val="en-GB" w:eastAsia="en-GB"/>
        </w:rPr>
        <w:t>Zurn</w:t>
      </w:r>
      <w:proofErr w:type="spellEnd"/>
      <w:r>
        <w:rPr>
          <w:lang w:val="en-GB" w:eastAsia="en-GB"/>
        </w:rPr>
        <w:t xml:space="preserve"> P, </w:t>
      </w:r>
      <w:proofErr w:type="spellStart"/>
      <w:r>
        <w:rPr>
          <w:lang w:val="en-GB" w:eastAsia="en-GB"/>
        </w:rPr>
        <w:t>Doleo</w:t>
      </w:r>
      <w:proofErr w:type="spellEnd"/>
      <w:r>
        <w:rPr>
          <w:lang w:val="en-GB" w:eastAsia="en-GB"/>
        </w:rPr>
        <w:t xml:space="preserve"> C and Stilwell B. </w:t>
      </w:r>
      <w:r w:rsidR="00571D8E" w:rsidRPr="008C231D">
        <w:rPr>
          <w:lang w:val="en-GB" w:eastAsia="en-GB"/>
        </w:rPr>
        <w:t>Nurse retention and recruitment: developing a motivated workforce. The Global Nursing Review Initiative</w:t>
      </w:r>
      <w:r>
        <w:rPr>
          <w:lang w:val="en-GB" w:eastAsia="en-GB"/>
        </w:rPr>
        <w:t xml:space="preserve"> 2005</w:t>
      </w:r>
      <w:r w:rsidR="00571D8E" w:rsidRPr="008C231D">
        <w:rPr>
          <w:lang w:val="en-GB" w:eastAsia="en-GB"/>
        </w:rPr>
        <w:t>, 4, p 1-30.</w:t>
      </w:r>
    </w:p>
    <w:p w:rsidR="00571D8E" w:rsidRPr="008C231D" w:rsidRDefault="00A67F01" w:rsidP="00A62F4E">
      <w:pPr>
        <w:pStyle w:val="Lijstalinea"/>
        <w:numPr>
          <w:ilvl w:val="0"/>
          <w:numId w:val="10"/>
        </w:numPr>
        <w:spacing w:line="480" w:lineRule="auto"/>
        <w:rPr>
          <w:lang w:val="en-GB" w:eastAsia="en-GB"/>
        </w:rPr>
      </w:pPr>
      <w:r>
        <w:rPr>
          <w:lang w:val="en-GB" w:eastAsia="en-GB"/>
        </w:rPr>
        <w:t xml:space="preserve">International Council of Nurses. </w:t>
      </w:r>
      <w:r w:rsidR="00571D8E" w:rsidRPr="008C231D">
        <w:rPr>
          <w:lang w:val="en-GB" w:eastAsia="en-GB"/>
        </w:rPr>
        <w:t>Fact Sheet: An Ageing Nursing Workforce. Geneva</w:t>
      </w:r>
      <w:r>
        <w:rPr>
          <w:lang w:val="en-GB" w:eastAsia="en-GB"/>
        </w:rPr>
        <w:t xml:space="preserve"> 2007</w:t>
      </w:r>
      <w:r w:rsidR="00571D8E" w:rsidRPr="008C231D">
        <w:rPr>
          <w:lang w:val="en-GB" w:eastAsia="en-GB"/>
        </w:rPr>
        <w:t>: ICN.</w:t>
      </w:r>
    </w:p>
    <w:p w:rsidR="00571D8E" w:rsidRPr="008C231D" w:rsidRDefault="00A67F01" w:rsidP="00A62F4E">
      <w:pPr>
        <w:pStyle w:val="Lijstalinea"/>
        <w:numPr>
          <w:ilvl w:val="0"/>
          <w:numId w:val="10"/>
        </w:numPr>
        <w:spacing w:line="480" w:lineRule="auto"/>
        <w:rPr>
          <w:lang w:val="en-GB" w:eastAsia="en-GB"/>
        </w:rPr>
      </w:pPr>
      <w:r>
        <w:rPr>
          <w:lang w:val="en-GB" w:eastAsia="en-GB"/>
        </w:rPr>
        <w:t>Kramer M</w:t>
      </w:r>
      <w:r w:rsidR="00BC343E">
        <w:rPr>
          <w:lang w:val="en-GB" w:eastAsia="en-GB"/>
        </w:rPr>
        <w:t>, Maguire P and Brewer</w:t>
      </w:r>
      <w:r>
        <w:rPr>
          <w:lang w:val="en-GB" w:eastAsia="en-GB"/>
        </w:rPr>
        <w:t xml:space="preserve"> B. </w:t>
      </w:r>
      <w:r w:rsidR="00571D8E" w:rsidRPr="008C231D">
        <w:rPr>
          <w:lang w:val="en-GB" w:eastAsia="en-GB"/>
        </w:rPr>
        <w:t>Clinical nurses in Magnet hospitals confirm productive, healthy unit work environments. Journal of Nursing Management</w:t>
      </w:r>
      <w:r>
        <w:rPr>
          <w:lang w:val="en-GB" w:eastAsia="en-GB"/>
        </w:rPr>
        <w:t xml:space="preserve"> 2011</w:t>
      </w:r>
      <w:r w:rsidR="00571D8E" w:rsidRPr="008C231D">
        <w:rPr>
          <w:lang w:val="en-GB" w:eastAsia="en-GB"/>
        </w:rPr>
        <w:t>, 19, 5–17</w:t>
      </w:r>
      <w:r>
        <w:rPr>
          <w:lang w:val="en-GB" w:eastAsia="en-GB"/>
        </w:rPr>
        <w:t>.</w:t>
      </w:r>
    </w:p>
    <w:p w:rsidR="00571D8E" w:rsidRPr="008C231D" w:rsidRDefault="00BC343E" w:rsidP="00A62F4E">
      <w:pPr>
        <w:pStyle w:val="Lijstalinea"/>
        <w:numPr>
          <w:ilvl w:val="0"/>
          <w:numId w:val="10"/>
        </w:numPr>
        <w:spacing w:line="480" w:lineRule="auto"/>
        <w:rPr>
          <w:bCs/>
          <w:lang w:val="en-GB" w:eastAsia="en-GB"/>
        </w:rPr>
      </w:pPr>
      <w:r w:rsidRPr="00BC343E">
        <w:rPr>
          <w:lang w:eastAsia="en-GB"/>
        </w:rPr>
        <w:t xml:space="preserve">Reid U and Weller B. </w:t>
      </w:r>
      <w:r w:rsidR="00571D8E" w:rsidRPr="008C231D">
        <w:rPr>
          <w:bCs/>
          <w:lang w:val="en-GB" w:eastAsia="en-GB"/>
        </w:rPr>
        <w:t>Nursing Human Resources Planning and Management Competencies. International Council of Nurses</w:t>
      </w:r>
      <w:r>
        <w:rPr>
          <w:bCs/>
          <w:lang w:val="en-GB" w:eastAsia="en-GB"/>
        </w:rPr>
        <w:t xml:space="preserve"> 2010</w:t>
      </w:r>
      <w:r w:rsidR="00571D8E" w:rsidRPr="008C231D">
        <w:rPr>
          <w:bCs/>
          <w:lang w:val="en-GB" w:eastAsia="en-GB"/>
        </w:rPr>
        <w:t>: Geneva.</w:t>
      </w:r>
    </w:p>
    <w:p w:rsidR="00571D8E" w:rsidRPr="008C231D" w:rsidRDefault="00BC343E" w:rsidP="00A62F4E">
      <w:pPr>
        <w:pStyle w:val="Lijstalinea"/>
        <w:numPr>
          <w:ilvl w:val="0"/>
          <w:numId w:val="10"/>
        </w:numPr>
        <w:spacing w:line="480" w:lineRule="auto"/>
        <w:rPr>
          <w:lang w:val="en-GB" w:eastAsia="en-GB"/>
        </w:rPr>
      </w:pPr>
      <w:proofErr w:type="spellStart"/>
      <w:r>
        <w:rPr>
          <w:lang w:val="en-GB" w:eastAsia="en-GB"/>
        </w:rPr>
        <w:lastRenderedPageBreak/>
        <w:t>Kalisch</w:t>
      </w:r>
      <w:proofErr w:type="spellEnd"/>
      <w:r>
        <w:rPr>
          <w:lang w:val="en-GB" w:eastAsia="en-GB"/>
        </w:rPr>
        <w:t xml:space="preserve"> B and </w:t>
      </w:r>
      <w:proofErr w:type="spellStart"/>
      <w:r>
        <w:rPr>
          <w:lang w:val="en-GB" w:eastAsia="en-GB"/>
        </w:rPr>
        <w:t>Begeney</w:t>
      </w:r>
      <w:proofErr w:type="spellEnd"/>
      <w:r w:rsidR="00571D8E" w:rsidRPr="008C231D">
        <w:rPr>
          <w:lang w:val="en-GB" w:eastAsia="en-GB"/>
        </w:rPr>
        <w:t xml:space="preserve"> S. Improving Nursing Unit Teamwork. Journal of Nursing Administration</w:t>
      </w:r>
      <w:r>
        <w:rPr>
          <w:lang w:val="en-GB" w:eastAsia="en-GB"/>
        </w:rPr>
        <w:t xml:space="preserve"> 2005</w:t>
      </w:r>
      <w:r w:rsidR="00571D8E" w:rsidRPr="008C231D">
        <w:rPr>
          <w:lang w:val="en-GB" w:eastAsia="en-GB"/>
        </w:rPr>
        <w:t>, 35, 12, 550-556.</w:t>
      </w:r>
    </w:p>
    <w:p w:rsidR="00571D8E" w:rsidRPr="008C231D" w:rsidRDefault="00571D8E" w:rsidP="00A62F4E">
      <w:pPr>
        <w:pStyle w:val="Lijstalinea"/>
        <w:numPr>
          <w:ilvl w:val="0"/>
          <w:numId w:val="10"/>
        </w:numPr>
        <w:spacing w:line="480" w:lineRule="auto"/>
        <w:rPr>
          <w:lang w:val="en-GB" w:eastAsia="en-GB"/>
        </w:rPr>
      </w:pPr>
      <w:r w:rsidRPr="008C231D">
        <w:rPr>
          <w:lang w:val="en-GB" w:eastAsia="en-GB"/>
        </w:rPr>
        <w:t>Rafferty AM, Clarke S, Coles J, Bal</w:t>
      </w:r>
      <w:r w:rsidR="00BC343E">
        <w:rPr>
          <w:lang w:val="en-GB" w:eastAsia="en-GB"/>
        </w:rPr>
        <w:t xml:space="preserve">l J, James P, McKee M, Aiken L. </w:t>
      </w:r>
      <w:r w:rsidRPr="008C231D">
        <w:rPr>
          <w:lang w:val="en-GB" w:eastAsia="en-GB"/>
        </w:rPr>
        <w:t>Outcomes of variation in hospital nurse staffing in English hospitals: Cross-sectional analysis of survey data and discharge records. International Journal of Nursing Studies</w:t>
      </w:r>
      <w:r w:rsidR="00BC343E">
        <w:rPr>
          <w:lang w:val="en-GB" w:eastAsia="en-GB"/>
        </w:rPr>
        <w:t xml:space="preserve"> 2007, February, 44(2),</w:t>
      </w:r>
      <w:r w:rsidRPr="008C231D">
        <w:rPr>
          <w:lang w:val="en-GB" w:eastAsia="en-GB"/>
        </w:rPr>
        <w:t xml:space="preserve"> pp175-182.</w:t>
      </w:r>
    </w:p>
    <w:p w:rsidR="00571D8E" w:rsidRPr="008C231D" w:rsidRDefault="00BC343E" w:rsidP="00A62F4E">
      <w:pPr>
        <w:pStyle w:val="Lijstalinea"/>
        <w:numPr>
          <w:ilvl w:val="0"/>
          <w:numId w:val="10"/>
        </w:numPr>
        <w:spacing w:line="480" w:lineRule="auto"/>
        <w:rPr>
          <w:lang w:val="en-GB" w:eastAsia="en-GB"/>
        </w:rPr>
      </w:pPr>
      <w:proofErr w:type="spellStart"/>
      <w:r w:rsidRPr="00C3371F">
        <w:rPr>
          <w:lang w:eastAsia="en-GB"/>
        </w:rPr>
        <w:t>Tanco</w:t>
      </w:r>
      <w:proofErr w:type="spellEnd"/>
      <w:r w:rsidRPr="00C3371F">
        <w:rPr>
          <w:lang w:eastAsia="en-GB"/>
        </w:rPr>
        <w:t xml:space="preserve"> M, </w:t>
      </w:r>
      <w:proofErr w:type="spellStart"/>
      <w:r w:rsidRPr="00C3371F">
        <w:rPr>
          <w:lang w:eastAsia="en-GB"/>
        </w:rPr>
        <w:t>Jaca</w:t>
      </w:r>
      <w:proofErr w:type="spellEnd"/>
      <w:r w:rsidRPr="00C3371F">
        <w:rPr>
          <w:lang w:eastAsia="en-GB"/>
        </w:rPr>
        <w:t xml:space="preserve"> C, </w:t>
      </w:r>
      <w:proofErr w:type="spellStart"/>
      <w:r w:rsidRPr="00C3371F">
        <w:rPr>
          <w:lang w:eastAsia="en-GB"/>
        </w:rPr>
        <w:t>Viles</w:t>
      </w:r>
      <w:proofErr w:type="spellEnd"/>
      <w:r w:rsidRPr="00C3371F">
        <w:rPr>
          <w:lang w:eastAsia="en-GB"/>
        </w:rPr>
        <w:t xml:space="preserve"> E</w:t>
      </w:r>
      <w:r w:rsidR="00C3371F" w:rsidRPr="00C3371F">
        <w:rPr>
          <w:lang w:eastAsia="en-GB"/>
        </w:rPr>
        <w:t xml:space="preserve">, Mateo R, Santos J. </w:t>
      </w:r>
      <w:r w:rsidR="00571D8E" w:rsidRPr="008C231D">
        <w:rPr>
          <w:lang w:val="en-GB" w:eastAsia="en-GB"/>
        </w:rPr>
        <w:t>Healthcare teamwork best practices: lessons for industry. The TQM Journal</w:t>
      </w:r>
      <w:r w:rsidR="00C3371F">
        <w:rPr>
          <w:lang w:val="en-GB" w:eastAsia="en-GB"/>
        </w:rPr>
        <w:t xml:space="preserve"> 2011</w:t>
      </w:r>
      <w:r w:rsidR="00571D8E" w:rsidRPr="008C231D">
        <w:rPr>
          <w:lang w:val="en-GB" w:eastAsia="en-GB"/>
        </w:rPr>
        <w:t>, 23, 6, p 598-610.</w:t>
      </w:r>
    </w:p>
    <w:p w:rsidR="00571D8E" w:rsidRPr="008C231D" w:rsidRDefault="00C3371F" w:rsidP="00557A70">
      <w:pPr>
        <w:pStyle w:val="Lijstalinea"/>
        <w:numPr>
          <w:ilvl w:val="0"/>
          <w:numId w:val="10"/>
        </w:numPr>
        <w:spacing w:line="480" w:lineRule="auto"/>
        <w:jc w:val="both"/>
        <w:rPr>
          <w:lang w:val="es-ES" w:eastAsia="en-GB"/>
        </w:rPr>
      </w:pPr>
      <w:r>
        <w:rPr>
          <w:lang w:val="en-GB" w:eastAsia="en-GB"/>
        </w:rPr>
        <w:t>Stone P,</w:t>
      </w:r>
      <w:r w:rsidR="00571D8E" w:rsidRPr="008C231D">
        <w:rPr>
          <w:lang w:val="en-GB" w:eastAsia="en-GB"/>
        </w:rPr>
        <w:t xml:space="preserve"> </w:t>
      </w:r>
      <w:r>
        <w:rPr>
          <w:lang w:val="en-GB" w:eastAsia="en-GB"/>
        </w:rPr>
        <w:t>Hughes R</w:t>
      </w:r>
      <w:r w:rsidR="00571D8E" w:rsidRPr="008C231D">
        <w:rPr>
          <w:lang w:val="en-GB" w:eastAsia="en-GB"/>
        </w:rPr>
        <w:t xml:space="preserve"> and Daily, M. Creating a Safe and High-Quality Health Care Environment. In Patient Safety and Quality: An Evidence-Based Handbook for Nurses: Vol. 2. </w:t>
      </w:r>
      <w:r w:rsidR="00571D8E" w:rsidRPr="008C231D">
        <w:rPr>
          <w:lang w:val="es-ES" w:eastAsia="en-GB"/>
        </w:rPr>
        <w:t>WHO</w:t>
      </w:r>
      <w:r>
        <w:rPr>
          <w:lang w:val="es-ES" w:eastAsia="en-GB"/>
        </w:rPr>
        <w:t xml:space="preserve"> 2010</w:t>
      </w:r>
      <w:r w:rsidR="00571D8E" w:rsidRPr="008C231D">
        <w:rPr>
          <w:lang w:val="es-ES" w:eastAsia="en-GB"/>
        </w:rPr>
        <w:t>: Geneva.</w:t>
      </w:r>
    </w:p>
    <w:p w:rsidR="00F739AB" w:rsidRPr="008C231D" w:rsidRDefault="00557A70" w:rsidP="008C231D">
      <w:pPr>
        <w:pStyle w:val="Lijstalinea"/>
        <w:numPr>
          <w:ilvl w:val="0"/>
          <w:numId w:val="10"/>
        </w:numPr>
        <w:autoSpaceDE w:val="0"/>
        <w:autoSpaceDN w:val="0"/>
        <w:spacing w:line="480" w:lineRule="auto"/>
        <w:jc w:val="both"/>
        <w:rPr>
          <w:rFonts w:cs="Arial"/>
          <w:lang w:val="en-GB"/>
        </w:rPr>
      </w:pPr>
      <w:r w:rsidRPr="008C231D">
        <w:rPr>
          <w:rFonts w:cs="Arial"/>
          <w:lang w:val="en-GB"/>
        </w:rPr>
        <w:t>Griffiths P, Murrells T, Maben J, Jones S</w:t>
      </w:r>
      <w:r w:rsidR="008C231D" w:rsidRPr="008C231D">
        <w:rPr>
          <w:rFonts w:cs="Arial"/>
          <w:lang w:val="en-GB"/>
        </w:rPr>
        <w:t>, &amp; Ashworth</w:t>
      </w:r>
      <w:r w:rsidRPr="008C231D">
        <w:rPr>
          <w:rFonts w:cs="Arial"/>
          <w:lang w:val="en-GB"/>
        </w:rPr>
        <w:t xml:space="preserve"> M. Nurse staffing and quality of care in UK general practice: cross-sectional study using routinely collected data. </w:t>
      </w:r>
      <w:r w:rsidRPr="008C231D">
        <w:rPr>
          <w:rFonts w:cs="Arial"/>
          <w:iCs/>
          <w:lang w:val="en-GB"/>
        </w:rPr>
        <w:t>British Journal of General Practice 2010, 60</w:t>
      </w:r>
      <w:r w:rsidRPr="008C231D">
        <w:rPr>
          <w:rFonts w:cs="Arial"/>
          <w:lang w:val="en-GB"/>
        </w:rPr>
        <w:t xml:space="preserve">(1), e36-e48. </w:t>
      </w:r>
    </w:p>
    <w:p w:rsidR="00571D8E" w:rsidRPr="008C231D" w:rsidRDefault="00C3371F" w:rsidP="00557A70">
      <w:pPr>
        <w:pStyle w:val="Lijstalinea"/>
        <w:numPr>
          <w:ilvl w:val="0"/>
          <w:numId w:val="10"/>
        </w:numPr>
        <w:spacing w:line="480" w:lineRule="auto"/>
        <w:jc w:val="both"/>
        <w:rPr>
          <w:lang w:val="en-GB" w:eastAsia="en-GB"/>
        </w:rPr>
      </w:pPr>
      <w:proofErr w:type="spellStart"/>
      <w:r>
        <w:rPr>
          <w:lang w:val="en-GB" w:eastAsia="en-GB"/>
        </w:rPr>
        <w:t>Layte</w:t>
      </w:r>
      <w:proofErr w:type="spellEnd"/>
      <w:r>
        <w:rPr>
          <w:lang w:val="en-GB" w:eastAsia="en-GB"/>
        </w:rPr>
        <w:t xml:space="preserve"> R, in </w:t>
      </w:r>
      <w:proofErr w:type="spellStart"/>
      <w:r w:rsidR="00571D8E" w:rsidRPr="008C231D">
        <w:rPr>
          <w:lang w:val="en-GB" w:eastAsia="en-GB"/>
        </w:rPr>
        <w:t>Layte</w:t>
      </w:r>
      <w:proofErr w:type="spellEnd"/>
      <w:r>
        <w:rPr>
          <w:lang w:val="en-GB" w:eastAsia="en-GB"/>
        </w:rPr>
        <w:t xml:space="preserve"> R (ed.). </w:t>
      </w:r>
      <w:r w:rsidR="00571D8E" w:rsidRPr="008C231D">
        <w:rPr>
          <w:lang w:val="en-GB" w:eastAsia="en-GB"/>
        </w:rPr>
        <w:t>Projecting the Impact of Demographic Change on the Demand for and Delivery of Healthcare in Ireland, Dublin</w:t>
      </w:r>
      <w:r w:rsidR="00456A14">
        <w:rPr>
          <w:lang w:val="en-GB" w:eastAsia="en-GB"/>
        </w:rPr>
        <w:t xml:space="preserve"> 2009</w:t>
      </w:r>
      <w:r w:rsidR="00571D8E" w:rsidRPr="008C231D">
        <w:rPr>
          <w:lang w:val="en-GB" w:eastAsia="en-GB"/>
        </w:rPr>
        <w:t xml:space="preserve">: ESRI. </w:t>
      </w:r>
    </w:p>
    <w:p w:rsidR="00571D8E" w:rsidRPr="008C231D" w:rsidRDefault="00571D8E" w:rsidP="00A62F4E">
      <w:pPr>
        <w:spacing w:line="480" w:lineRule="auto"/>
        <w:rPr>
          <w:lang w:val="en-GB"/>
        </w:rPr>
      </w:pPr>
    </w:p>
    <w:sectPr w:rsidR="00571D8E" w:rsidRPr="008C231D" w:rsidSect="00BA7F9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51" w:rsidRDefault="00B92951" w:rsidP="001E7D95">
      <w:pPr>
        <w:spacing w:after="0" w:line="240" w:lineRule="auto"/>
      </w:pPr>
      <w:r>
        <w:separator/>
      </w:r>
    </w:p>
  </w:endnote>
  <w:endnote w:type="continuationSeparator" w:id="0">
    <w:p w:rsidR="00B92951" w:rsidRDefault="00B92951" w:rsidP="001E7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7140"/>
      <w:docPartObj>
        <w:docPartGallery w:val="Page Numbers (Bottom of Page)"/>
        <w:docPartUnique/>
      </w:docPartObj>
    </w:sdtPr>
    <w:sdtContent>
      <w:p w:rsidR="005F575C" w:rsidRDefault="006D38B1">
        <w:pPr>
          <w:pStyle w:val="Voettekst"/>
          <w:jc w:val="right"/>
        </w:pPr>
        <w:fldSimple w:instr=" PAGE   \* MERGEFORMAT ">
          <w:r w:rsidR="00B93129">
            <w:rPr>
              <w:noProof/>
            </w:rPr>
            <w:t>18</w:t>
          </w:r>
        </w:fldSimple>
      </w:p>
    </w:sdtContent>
  </w:sdt>
  <w:p w:rsidR="005F575C" w:rsidRDefault="005F575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51" w:rsidRDefault="00B92951" w:rsidP="001E7D95">
      <w:pPr>
        <w:spacing w:after="0" w:line="240" w:lineRule="auto"/>
      </w:pPr>
      <w:r>
        <w:separator/>
      </w:r>
    </w:p>
  </w:footnote>
  <w:footnote w:type="continuationSeparator" w:id="0">
    <w:p w:rsidR="00B92951" w:rsidRDefault="00B92951" w:rsidP="001E7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E25"/>
    <w:multiLevelType w:val="hybridMultilevel"/>
    <w:tmpl w:val="2DF4420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B073920"/>
    <w:multiLevelType w:val="hybridMultilevel"/>
    <w:tmpl w:val="5A70E69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179752E"/>
    <w:multiLevelType w:val="hybridMultilevel"/>
    <w:tmpl w:val="753011E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2AD27DC"/>
    <w:multiLevelType w:val="hybridMultilevel"/>
    <w:tmpl w:val="E0768848"/>
    <w:lvl w:ilvl="0" w:tplc="DA324FB4">
      <w:start w:val="1"/>
      <w:numFmt w:val="decimal"/>
      <w:lvlText w:val="%1."/>
      <w:lvlJc w:val="left"/>
      <w:pPr>
        <w:ind w:left="360" w:hanging="360"/>
      </w:pPr>
      <w:rPr>
        <w:rFonts w:ascii="Calibri" w:hAnsi="Calibri" w:cs="Calibri" w:hint="default"/>
        <w:color w:val="000000"/>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BEF55AE"/>
    <w:multiLevelType w:val="hybridMultilevel"/>
    <w:tmpl w:val="80E696C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36E777F"/>
    <w:multiLevelType w:val="hybridMultilevel"/>
    <w:tmpl w:val="24C6181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D8A4759"/>
    <w:multiLevelType w:val="hybridMultilevel"/>
    <w:tmpl w:val="B1AA3D2E"/>
    <w:lvl w:ilvl="0" w:tplc="0813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3587552"/>
    <w:multiLevelType w:val="hybridMultilevel"/>
    <w:tmpl w:val="4CE684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BC8206E"/>
    <w:multiLevelType w:val="hybridMultilevel"/>
    <w:tmpl w:val="A13026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3D0478C8"/>
    <w:multiLevelType w:val="hybridMultilevel"/>
    <w:tmpl w:val="51EA10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E050A88"/>
    <w:multiLevelType w:val="hybridMultilevel"/>
    <w:tmpl w:val="5844B78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74704CF"/>
    <w:multiLevelType w:val="hybridMultilevel"/>
    <w:tmpl w:val="D5BC41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576513E6"/>
    <w:multiLevelType w:val="hybridMultilevel"/>
    <w:tmpl w:val="E7ECEF0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62E36E0E"/>
    <w:multiLevelType w:val="multilevel"/>
    <w:tmpl w:val="3FD2DB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4A01C72"/>
    <w:multiLevelType w:val="hybridMultilevel"/>
    <w:tmpl w:val="CADE2B0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9C4E45"/>
    <w:multiLevelType w:val="hybridMultilevel"/>
    <w:tmpl w:val="08F047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78CD20B0"/>
    <w:multiLevelType w:val="multilevel"/>
    <w:tmpl w:val="7EBA3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91B575B"/>
    <w:multiLevelType w:val="hybridMultilevel"/>
    <w:tmpl w:val="10BC3A3E"/>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7D142F86"/>
    <w:multiLevelType w:val="hybridMultilevel"/>
    <w:tmpl w:val="D610AD3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8"/>
  </w:num>
  <w:num w:numId="4">
    <w:abstractNumId w:val="14"/>
  </w:num>
  <w:num w:numId="5">
    <w:abstractNumId w:val="6"/>
  </w:num>
  <w:num w:numId="6">
    <w:abstractNumId w:val="8"/>
  </w:num>
  <w:num w:numId="7">
    <w:abstractNumId w:val="10"/>
  </w:num>
  <w:num w:numId="8">
    <w:abstractNumId w:val="12"/>
  </w:num>
  <w:num w:numId="9">
    <w:abstractNumId w:val="5"/>
  </w:num>
  <w:num w:numId="10">
    <w:abstractNumId w:val="7"/>
  </w:num>
  <w:num w:numId="11">
    <w:abstractNumId w:val="0"/>
  </w:num>
  <w:num w:numId="12">
    <w:abstractNumId w:val="2"/>
  </w:num>
  <w:num w:numId="13">
    <w:abstractNumId w:val="17"/>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11"/>
  </w:num>
  <w:num w:numId="24">
    <w:abstractNumId w:val="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855B30"/>
    <w:rsid w:val="00017280"/>
    <w:rsid w:val="00060E64"/>
    <w:rsid w:val="0007202F"/>
    <w:rsid w:val="000D077A"/>
    <w:rsid w:val="000F5DFC"/>
    <w:rsid w:val="00107215"/>
    <w:rsid w:val="00117B99"/>
    <w:rsid w:val="00170B4A"/>
    <w:rsid w:val="001933AF"/>
    <w:rsid w:val="001A7B0A"/>
    <w:rsid w:val="001D4D92"/>
    <w:rsid w:val="001E4F18"/>
    <w:rsid w:val="001E7D95"/>
    <w:rsid w:val="00202C14"/>
    <w:rsid w:val="00206242"/>
    <w:rsid w:val="0021714B"/>
    <w:rsid w:val="00235BD0"/>
    <w:rsid w:val="0023713D"/>
    <w:rsid w:val="002420D6"/>
    <w:rsid w:val="00242925"/>
    <w:rsid w:val="002704CF"/>
    <w:rsid w:val="002874ED"/>
    <w:rsid w:val="002A24D2"/>
    <w:rsid w:val="002E54F0"/>
    <w:rsid w:val="002E62B2"/>
    <w:rsid w:val="003019A8"/>
    <w:rsid w:val="00323389"/>
    <w:rsid w:val="00373DA9"/>
    <w:rsid w:val="003B3832"/>
    <w:rsid w:val="003C270B"/>
    <w:rsid w:val="003E42B5"/>
    <w:rsid w:val="00450512"/>
    <w:rsid w:val="00456A14"/>
    <w:rsid w:val="00456D0B"/>
    <w:rsid w:val="00460CCB"/>
    <w:rsid w:val="00482196"/>
    <w:rsid w:val="00484DDA"/>
    <w:rsid w:val="00485D77"/>
    <w:rsid w:val="00494F23"/>
    <w:rsid w:val="004B2056"/>
    <w:rsid w:val="004B4601"/>
    <w:rsid w:val="004D2C31"/>
    <w:rsid w:val="004E2090"/>
    <w:rsid w:val="004F081E"/>
    <w:rsid w:val="0052290F"/>
    <w:rsid w:val="00523527"/>
    <w:rsid w:val="00547864"/>
    <w:rsid w:val="00557A70"/>
    <w:rsid w:val="00571D8E"/>
    <w:rsid w:val="00580123"/>
    <w:rsid w:val="00585FD4"/>
    <w:rsid w:val="00592CE4"/>
    <w:rsid w:val="005A1676"/>
    <w:rsid w:val="005B40D2"/>
    <w:rsid w:val="005D37A1"/>
    <w:rsid w:val="005D712B"/>
    <w:rsid w:val="005E079D"/>
    <w:rsid w:val="005E627F"/>
    <w:rsid w:val="005E73CA"/>
    <w:rsid w:val="005F575C"/>
    <w:rsid w:val="00611037"/>
    <w:rsid w:val="00685D1B"/>
    <w:rsid w:val="0069620C"/>
    <w:rsid w:val="00697A82"/>
    <w:rsid w:val="006B606A"/>
    <w:rsid w:val="006D38B1"/>
    <w:rsid w:val="006D5DF9"/>
    <w:rsid w:val="00714F51"/>
    <w:rsid w:val="00721086"/>
    <w:rsid w:val="007230FB"/>
    <w:rsid w:val="00736768"/>
    <w:rsid w:val="00744D1B"/>
    <w:rsid w:val="007470A5"/>
    <w:rsid w:val="0075458D"/>
    <w:rsid w:val="00755EB8"/>
    <w:rsid w:val="00757403"/>
    <w:rsid w:val="00761BBD"/>
    <w:rsid w:val="007774F2"/>
    <w:rsid w:val="00785274"/>
    <w:rsid w:val="0078543C"/>
    <w:rsid w:val="00787F01"/>
    <w:rsid w:val="00793A3F"/>
    <w:rsid w:val="00796325"/>
    <w:rsid w:val="007C2578"/>
    <w:rsid w:val="007C521E"/>
    <w:rsid w:val="007E51D0"/>
    <w:rsid w:val="007F4348"/>
    <w:rsid w:val="007F46FE"/>
    <w:rsid w:val="00826AE2"/>
    <w:rsid w:val="008437D7"/>
    <w:rsid w:val="00855B30"/>
    <w:rsid w:val="00876C93"/>
    <w:rsid w:val="00886B1E"/>
    <w:rsid w:val="008A1203"/>
    <w:rsid w:val="008A46D3"/>
    <w:rsid w:val="008C215F"/>
    <w:rsid w:val="008C231D"/>
    <w:rsid w:val="008C48C0"/>
    <w:rsid w:val="008C6707"/>
    <w:rsid w:val="008D25F3"/>
    <w:rsid w:val="008E5964"/>
    <w:rsid w:val="008F68F7"/>
    <w:rsid w:val="009072CD"/>
    <w:rsid w:val="009147E4"/>
    <w:rsid w:val="00921BA8"/>
    <w:rsid w:val="00945744"/>
    <w:rsid w:val="00947A0B"/>
    <w:rsid w:val="00957EB8"/>
    <w:rsid w:val="00961E49"/>
    <w:rsid w:val="00976920"/>
    <w:rsid w:val="00994CDD"/>
    <w:rsid w:val="009A179F"/>
    <w:rsid w:val="009A53A9"/>
    <w:rsid w:val="009C1E5C"/>
    <w:rsid w:val="009C3E13"/>
    <w:rsid w:val="009D325A"/>
    <w:rsid w:val="009F6B92"/>
    <w:rsid w:val="00A2293F"/>
    <w:rsid w:val="00A247FD"/>
    <w:rsid w:val="00A26F52"/>
    <w:rsid w:val="00A34112"/>
    <w:rsid w:val="00A55E79"/>
    <w:rsid w:val="00A62F4E"/>
    <w:rsid w:val="00A67F01"/>
    <w:rsid w:val="00A74432"/>
    <w:rsid w:val="00A749DD"/>
    <w:rsid w:val="00A833B3"/>
    <w:rsid w:val="00AB664B"/>
    <w:rsid w:val="00AB7F18"/>
    <w:rsid w:val="00AD00A4"/>
    <w:rsid w:val="00AD6C7F"/>
    <w:rsid w:val="00B0373D"/>
    <w:rsid w:val="00B21620"/>
    <w:rsid w:val="00B25420"/>
    <w:rsid w:val="00B65D4D"/>
    <w:rsid w:val="00B76EDC"/>
    <w:rsid w:val="00B855F8"/>
    <w:rsid w:val="00B92951"/>
    <w:rsid w:val="00B93129"/>
    <w:rsid w:val="00B96982"/>
    <w:rsid w:val="00BA6085"/>
    <w:rsid w:val="00BA7F99"/>
    <w:rsid w:val="00BC116E"/>
    <w:rsid w:val="00BC343E"/>
    <w:rsid w:val="00BD0386"/>
    <w:rsid w:val="00BF76BA"/>
    <w:rsid w:val="00C1690F"/>
    <w:rsid w:val="00C211B1"/>
    <w:rsid w:val="00C22AC4"/>
    <w:rsid w:val="00C25D75"/>
    <w:rsid w:val="00C3371F"/>
    <w:rsid w:val="00C544A1"/>
    <w:rsid w:val="00C7677E"/>
    <w:rsid w:val="00C83E27"/>
    <w:rsid w:val="00C97623"/>
    <w:rsid w:val="00CB3721"/>
    <w:rsid w:val="00CB41FB"/>
    <w:rsid w:val="00CC1DFE"/>
    <w:rsid w:val="00CC6BF9"/>
    <w:rsid w:val="00CD6378"/>
    <w:rsid w:val="00CF64F6"/>
    <w:rsid w:val="00D02A7E"/>
    <w:rsid w:val="00D20F68"/>
    <w:rsid w:val="00D5623F"/>
    <w:rsid w:val="00D70704"/>
    <w:rsid w:val="00D767D5"/>
    <w:rsid w:val="00DB109A"/>
    <w:rsid w:val="00DB11A2"/>
    <w:rsid w:val="00DB1603"/>
    <w:rsid w:val="00E16A35"/>
    <w:rsid w:val="00E9187F"/>
    <w:rsid w:val="00E95730"/>
    <w:rsid w:val="00EA186D"/>
    <w:rsid w:val="00EB3766"/>
    <w:rsid w:val="00EB78F0"/>
    <w:rsid w:val="00EC1836"/>
    <w:rsid w:val="00EC3525"/>
    <w:rsid w:val="00ED6076"/>
    <w:rsid w:val="00F21AF5"/>
    <w:rsid w:val="00F25DF3"/>
    <w:rsid w:val="00F2766B"/>
    <w:rsid w:val="00F37CFF"/>
    <w:rsid w:val="00F570CE"/>
    <w:rsid w:val="00F739AB"/>
    <w:rsid w:val="00F940DF"/>
    <w:rsid w:val="00FB03C0"/>
    <w:rsid w:val="00FB7DBE"/>
    <w:rsid w:val="00FC6AB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5B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55B30"/>
  </w:style>
  <w:style w:type="paragraph" w:styleId="Lijstalinea">
    <w:name w:val="List Paragraph"/>
    <w:basedOn w:val="Standaard"/>
    <w:uiPriority w:val="99"/>
    <w:qFormat/>
    <w:rsid w:val="00855B30"/>
    <w:pPr>
      <w:ind w:left="720"/>
      <w:contextualSpacing/>
    </w:pPr>
    <w:rPr>
      <w:rFonts w:eastAsiaTheme="minorEastAsia"/>
      <w:lang w:val="en-US" w:bidi="en-US"/>
    </w:rPr>
  </w:style>
  <w:style w:type="table" w:styleId="Tabelraster">
    <w:name w:val="Table Grid"/>
    <w:basedOn w:val="Standaardtabel"/>
    <w:uiPriority w:val="59"/>
    <w:rsid w:val="0085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Standaardalinea-lettertype"/>
    <w:rsid w:val="00855B30"/>
  </w:style>
  <w:style w:type="character" w:customStyle="1" w:styleId="apple-style-span">
    <w:name w:val="apple-style-span"/>
    <w:basedOn w:val="Standaardalinea-lettertype"/>
    <w:rsid w:val="00855B30"/>
  </w:style>
  <w:style w:type="character" w:styleId="Verwijzingopmerking">
    <w:name w:val="annotation reference"/>
    <w:basedOn w:val="Standaardalinea-lettertype"/>
    <w:uiPriority w:val="99"/>
    <w:semiHidden/>
    <w:unhideWhenUsed/>
    <w:rsid w:val="00855B30"/>
    <w:rPr>
      <w:sz w:val="16"/>
      <w:szCs w:val="16"/>
    </w:rPr>
  </w:style>
  <w:style w:type="paragraph" w:styleId="Tekstopmerking">
    <w:name w:val="annotation text"/>
    <w:basedOn w:val="Standaard"/>
    <w:link w:val="TekstopmerkingChar"/>
    <w:uiPriority w:val="99"/>
    <w:semiHidden/>
    <w:unhideWhenUsed/>
    <w:rsid w:val="00855B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5B30"/>
    <w:rPr>
      <w:sz w:val="20"/>
      <w:szCs w:val="20"/>
    </w:rPr>
  </w:style>
  <w:style w:type="paragraph" w:styleId="Ballontekst">
    <w:name w:val="Balloon Text"/>
    <w:basedOn w:val="Standaard"/>
    <w:link w:val="BallontekstChar"/>
    <w:uiPriority w:val="99"/>
    <w:semiHidden/>
    <w:unhideWhenUsed/>
    <w:rsid w:val="00855B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B30"/>
    <w:rPr>
      <w:rFonts w:ascii="Tahoma" w:hAnsi="Tahoma" w:cs="Tahoma"/>
      <w:sz w:val="16"/>
      <w:szCs w:val="16"/>
    </w:rPr>
  </w:style>
  <w:style w:type="paragraph" w:styleId="Koptekst">
    <w:name w:val="header"/>
    <w:basedOn w:val="Standaard"/>
    <w:link w:val="KoptekstChar"/>
    <w:uiPriority w:val="99"/>
    <w:semiHidden/>
    <w:unhideWhenUsed/>
    <w:rsid w:val="001E7D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E7D95"/>
  </w:style>
  <w:style w:type="paragraph" w:styleId="Voettekst">
    <w:name w:val="footer"/>
    <w:basedOn w:val="Standaard"/>
    <w:link w:val="VoettekstChar"/>
    <w:uiPriority w:val="99"/>
    <w:unhideWhenUsed/>
    <w:rsid w:val="001E7D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7D95"/>
  </w:style>
  <w:style w:type="character" w:styleId="Hyperlink">
    <w:name w:val="Hyperlink"/>
    <w:basedOn w:val="Standaardalinea-lettertype"/>
    <w:uiPriority w:val="99"/>
    <w:semiHidden/>
    <w:unhideWhenUsed/>
    <w:rsid w:val="00A55E79"/>
    <w:rPr>
      <w:color w:val="0000FF"/>
      <w:u w:val="single"/>
    </w:rPr>
  </w:style>
  <w:style w:type="paragraph" w:styleId="Onderwerpvanopmerking">
    <w:name w:val="annotation subject"/>
    <w:basedOn w:val="Tekstopmerking"/>
    <w:next w:val="Tekstopmerking"/>
    <w:link w:val="OnderwerpvanopmerkingChar"/>
    <w:uiPriority w:val="99"/>
    <w:semiHidden/>
    <w:unhideWhenUsed/>
    <w:rsid w:val="00A34112"/>
    <w:rPr>
      <w:b/>
      <w:bCs/>
    </w:rPr>
  </w:style>
  <w:style w:type="character" w:customStyle="1" w:styleId="OnderwerpvanopmerkingChar">
    <w:name w:val="Onderwerp van opmerking Char"/>
    <w:basedOn w:val="TekstopmerkingChar"/>
    <w:link w:val="Onderwerpvanopmerking"/>
    <w:uiPriority w:val="99"/>
    <w:semiHidden/>
    <w:rsid w:val="00A34112"/>
    <w:rPr>
      <w:b/>
      <w:bCs/>
    </w:rPr>
  </w:style>
</w:styles>
</file>

<file path=word/webSettings.xml><?xml version="1.0" encoding="utf-8"?>
<w:webSettings xmlns:r="http://schemas.openxmlformats.org/officeDocument/2006/relationships" xmlns:w="http://schemas.openxmlformats.org/wordprocessingml/2006/main">
  <w:divs>
    <w:div w:id="661391471">
      <w:bodyDiv w:val="1"/>
      <w:marLeft w:val="0"/>
      <w:marRight w:val="0"/>
      <w:marTop w:val="0"/>
      <w:marBottom w:val="0"/>
      <w:divBdr>
        <w:top w:val="none" w:sz="0" w:space="0" w:color="auto"/>
        <w:left w:val="none" w:sz="0" w:space="0" w:color="auto"/>
        <w:bottom w:val="none" w:sz="0" w:space="0" w:color="auto"/>
        <w:right w:val="none" w:sz="0" w:space="0" w:color="auto"/>
      </w:divBdr>
    </w:div>
    <w:div w:id="864908093">
      <w:bodyDiv w:val="1"/>
      <w:marLeft w:val="0"/>
      <w:marRight w:val="0"/>
      <w:marTop w:val="0"/>
      <w:marBottom w:val="0"/>
      <w:divBdr>
        <w:top w:val="none" w:sz="0" w:space="0" w:color="auto"/>
        <w:left w:val="none" w:sz="0" w:space="0" w:color="auto"/>
        <w:bottom w:val="none" w:sz="0" w:space="0" w:color="auto"/>
        <w:right w:val="none" w:sz="0" w:space="0" w:color="auto"/>
      </w:divBdr>
    </w:div>
    <w:div w:id="12053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32</Pages>
  <Words>9982</Words>
  <Characters>54903</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dc:creator>
  <cp:lastModifiedBy>Luk Bruyneel</cp:lastModifiedBy>
  <cp:revision>40</cp:revision>
  <cp:lastPrinted>2012-02-29T16:18:00Z</cp:lastPrinted>
  <dcterms:created xsi:type="dcterms:W3CDTF">2012-02-22T13:10:00Z</dcterms:created>
  <dcterms:modified xsi:type="dcterms:W3CDTF">2012-04-02T09:43:00Z</dcterms:modified>
</cp:coreProperties>
</file>