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CB" w:rsidRPr="00F30A38" w:rsidRDefault="001621CB" w:rsidP="00F30A38">
      <w:pPr>
        <w:pStyle w:val="Prrafodelista"/>
        <w:numPr>
          <w:ilvl w:val="0"/>
          <w:numId w:val="2"/>
        </w:numPr>
        <w:rPr>
          <w:b/>
          <w:bCs/>
          <w:sz w:val="20"/>
          <w:szCs w:val="20"/>
        </w:rPr>
      </w:pPr>
      <w:r w:rsidRPr="00F30A38">
        <w:rPr>
          <w:b/>
          <w:bCs/>
          <w:sz w:val="20"/>
          <w:szCs w:val="20"/>
        </w:rPr>
        <w:t>PUBLISHABLE SUMMARY</w:t>
      </w:r>
    </w:p>
    <w:p w:rsidR="005C226D" w:rsidRDefault="005C226D" w:rsidP="00075B53">
      <w:pPr>
        <w:spacing w:line="240" w:lineRule="auto"/>
        <w:jc w:val="both"/>
        <w:rPr>
          <w:b/>
          <w:bCs/>
          <w:sz w:val="20"/>
          <w:szCs w:val="20"/>
          <w:u w:val="single"/>
        </w:rPr>
      </w:pPr>
    </w:p>
    <w:p w:rsidR="005C226D" w:rsidRPr="005C226D" w:rsidRDefault="005C226D" w:rsidP="005C226D">
      <w:pPr>
        <w:jc w:val="both"/>
        <w:rPr>
          <w:sz w:val="20"/>
          <w:szCs w:val="20"/>
        </w:rPr>
      </w:pPr>
      <w:r w:rsidRPr="001E41A7">
        <w:rPr>
          <w:sz w:val="20"/>
          <w:szCs w:val="20"/>
        </w:rPr>
        <w:t>Europe's marine biodiversity constitutes a vast but fragile resource of great cultural and economic importance to its people. Many marine species of the Mediterranean Sea are presently endangered and some are probably prone to extinction. The degradation of marine Mediterranean ecosystems began centuries ago, but there is no global summary of the magnitude of this change. This project aimed the direct and combined effects of global warming and invasive species on high-diverse</w:t>
      </w:r>
      <w:r>
        <w:rPr>
          <w:sz w:val="20"/>
          <w:szCs w:val="20"/>
        </w:rPr>
        <w:t xml:space="preserve"> coralligenous communities. The </w:t>
      </w:r>
      <w:r w:rsidRPr="001E41A7">
        <w:rPr>
          <w:sz w:val="20"/>
          <w:szCs w:val="20"/>
        </w:rPr>
        <w:t>highly-diverse coralligenous communities support social and economic development in several European regions. Therefore, their protection is an imperative socioeconomic and environmental need. My research is therefore useful to provide information on the future impacts, allowing managers to anticipate ecosystem decline through an understanding of the sequences of species and habitat loss.</w:t>
      </w:r>
    </w:p>
    <w:p w:rsidR="001621CB" w:rsidRPr="00075B53" w:rsidRDefault="005C226D" w:rsidP="00075B53">
      <w:pPr>
        <w:spacing w:line="240" w:lineRule="auto"/>
        <w:jc w:val="both"/>
        <w:rPr>
          <w:b/>
          <w:bCs/>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8.35pt;width:228pt;height:249.2pt;z-index:-5" wrapcoords="-71 0 -71 21470 21600 21470 21600 0 -71 0">
            <v:imagedata r:id="rId8" o:title=""/>
            <w10:wrap type="tight"/>
          </v:shape>
        </w:pict>
      </w:r>
      <w:r w:rsidR="001621CB" w:rsidRPr="00075B53">
        <w:rPr>
          <w:b/>
          <w:bCs/>
          <w:sz w:val="20"/>
          <w:szCs w:val="20"/>
          <w:u w:val="single"/>
        </w:rPr>
        <w:t>A summary description of the project objectives and of the work performed since the beginning of the project</w:t>
      </w:r>
    </w:p>
    <w:p w:rsidR="001621CB" w:rsidRPr="003221D8" w:rsidRDefault="001621CB" w:rsidP="00075B53">
      <w:pPr>
        <w:spacing w:line="240" w:lineRule="auto"/>
        <w:jc w:val="both"/>
        <w:rPr>
          <w:b/>
          <w:bCs/>
          <w:sz w:val="20"/>
          <w:szCs w:val="20"/>
        </w:rPr>
      </w:pPr>
      <w:r w:rsidRPr="003221D8">
        <w:rPr>
          <w:b/>
          <w:bCs/>
          <w:sz w:val="20"/>
          <w:szCs w:val="20"/>
        </w:rPr>
        <w:t xml:space="preserve">Factors that favour the spreading of the invasive species </w:t>
      </w:r>
      <w:r w:rsidRPr="003221D8">
        <w:rPr>
          <w:b/>
          <w:bCs/>
          <w:i/>
          <w:iCs/>
          <w:sz w:val="20"/>
          <w:szCs w:val="20"/>
        </w:rPr>
        <w:t>Womersleyella setacea</w:t>
      </w:r>
      <w:r w:rsidRPr="003221D8">
        <w:rPr>
          <w:b/>
          <w:bCs/>
          <w:sz w:val="20"/>
          <w:szCs w:val="20"/>
        </w:rPr>
        <w:t xml:space="preserve"> and</w:t>
      </w:r>
      <w:r>
        <w:rPr>
          <w:b/>
          <w:bCs/>
          <w:sz w:val="20"/>
          <w:szCs w:val="20"/>
        </w:rPr>
        <w:t xml:space="preserve"> </w:t>
      </w:r>
      <w:r w:rsidRPr="003221D8">
        <w:rPr>
          <w:b/>
          <w:bCs/>
          <w:i/>
          <w:iCs/>
          <w:sz w:val="20"/>
          <w:szCs w:val="20"/>
        </w:rPr>
        <w:t>Caulerpa racemosa</w:t>
      </w:r>
      <w:r w:rsidRPr="003221D8">
        <w:rPr>
          <w:b/>
          <w:bCs/>
          <w:sz w:val="20"/>
          <w:szCs w:val="20"/>
        </w:rPr>
        <w:t>.</w:t>
      </w:r>
    </w:p>
    <w:p w:rsidR="001621CB" w:rsidRDefault="001621CB" w:rsidP="00075B53">
      <w:pPr>
        <w:spacing w:line="240" w:lineRule="auto"/>
        <w:jc w:val="both"/>
        <w:rPr>
          <w:sz w:val="20"/>
          <w:szCs w:val="20"/>
        </w:rPr>
      </w:pPr>
      <w:r w:rsidRPr="003221D8">
        <w:rPr>
          <w:sz w:val="20"/>
          <w:szCs w:val="20"/>
        </w:rPr>
        <w:t>The aim of this objective has been first, to elucidate abiotic conditions influencing</w:t>
      </w:r>
      <w:r>
        <w:rPr>
          <w:sz w:val="20"/>
          <w:szCs w:val="20"/>
        </w:rPr>
        <w:t xml:space="preserve"> </w:t>
      </w:r>
      <w:r w:rsidRPr="003221D8">
        <w:rPr>
          <w:sz w:val="20"/>
          <w:szCs w:val="20"/>
        </w:rPr>
        <w:t>invasive species biology and growth. In this line</w:t>
      </w:r>
      <w:r>
        <w:rPr>
          <w:sz w:val="20"/>
          <w:szCs w:val="20"/>
        </w:rPr>
        <w:t>,</w:t>
      </w:r>
      <w:r w:rsidRPr="003221D8">
        <w:rPr>
          <w:sz w:val="20"/>
          <w:szCs w:val="20"/>
        </w:rPr>
        <w:t xml:space="preserve"> we have monitored and studied </w:t>
      </w:r>
      <w:r w:rsidRPr="003221D8">
        <w:rPr>
          <w:i/>
          <w:iCs/>
          <w:sz w:val="20"/>
          <w:szCs w:val="20"/>
        </w:rPr>
        <w:t>C</w:t>
      </w:r>
      <w:r>
        <w:rPr>
          <w:i/>
          <w:iCs/>
          <w:sz w:val="20"/>
          <w:szCs w:val="20"/>
        </w:rPr>
        <w:t>.</w:t>
      </w:r>
      <w:r w:rsidRPr="003221D8">
        <w:rPr>
          <w:i/>
          <w:iCs/>
          <w:sz w:val="20"/>
          <w:szCs w:val="20"/>
        </w:rPr>
        <w:t xml:space="preserve"> racemosa</w:t>
      </w:r>
      <w:r>
        <w:rPr>
          <w:sz w:val="20"/>
          <w:szCs w:val="20"/>
        </w:rPr>
        <w:t xml:space="preserve"> </w:t>
      </w:r>
      <w:r w:rsidRPr="003221D8">
        <w:rPr>
          <w:sz w:val="20"/>
          <w:szCs w:val="20"/>
        </w:rPr>
        <w:t xml:space="preserve">and </w:t>
      </w:r>
      <w:r w:rsidRPr="003221D8">
        <w:rPr>
          <w:i/>
          <w:iCs/>
          <w:sz w:val="20"/>
          <w:szCs w:val="20"/>
        </w:rPr>
        <w:t>W</w:t>
      </w:r>
      <w:r>
        <w:rPr>
          <w:i/>
          <w:iCs/>
          <w:sz w:val="20"/>
          <w:szCs w:val="20"/>
        </w:rPr>
        <w:t>.</w:t>
      </w:r>
      <w:r w:rsidRPr="003221D8">
        <w:rPr>
          <w:i/>
          <w:iCs/>
          <w:sz w:val="20"/>
          <w:szCs w:val="20"/>
        </w:rPr>
        <w:t xml:space="preserve"> setacea</w:t>
      </w:r>
      <w:r w:rsidRPr="003221D8">
        <w:rPr>
          <w:sz w:val="20"/>
          <w:szCs w:val="20"/>
        </w:rPr>
        <w:t xml:space="preserve"> populations in situ, besides to experimentally study effects of different</w:t>
      </w:r>
      <w:r>
        <w:rPr>
          <w:sz w:val="20"/>
          <w:szCs w:val="20"/>
        </w:rPr>
        <w:t xml:space="preserve"> </w:t>
      </w:r>
      <w:r w:rsidRPr="003221D8">
        <w:rPr>
          <w:sz w:val="20"/>
          <w:szCs w:val="20"/>
        </w:rPr>
        <w:t>temperature and irradiance conditions in the laboratory. On the other hand, I have also studied how</w:t>
      </w:r>
      <w:r>
        <w:rPr>
          <w:sz w:val="20"/>
          <w:szCs w:val="20"/>
        </w:rPr>
        <w:t xml:space="preserve"> </w:t>
      </w:r>
      <w:r w:rsidRPr="003221D8">
        <w:rPr>
          <w:sz w:val="20"/>
          <w:szCs w:val="20"/>
        </w:rPr>
        <w:t>biotic interactions with the native hosting assemblages can influence macroalgae invasions in the</w:t>
      </w:r>
      <w:r>
        <w:rPr>
          <w:sz w:val="20"/>
          <w:szCs w:val="20"/>
        </w:rPr>
        <w:t xml:space="preserve"> </w:t>
      </w:r>
      <w:r w:rsidRPr="003221D8">
        <w:rPr>
          <w:sz w:val="20"/>
          <w:szCs w:val="20"/>
        </w:rPr>
        <w:t xml:space="preserve">Mediterranean Sea. </w:t>
      </w:r>
    </w:p>
    <w:p w:rsidR="005C226D" w:rsidRDefault="005C226D" w:rsidP="00075B53">
      <w:pPr>
        <w:spacing w:line="240" w:lineRule="auto"/>
        <w:jc w:val="both"/>
        <w:rPr>
          <w:sz w:val="20"/>
          <w:szCs w:val="20"/>
        </w:rPr>
      </w:pPr>
    </w:p>
    <w:p w:rsidR="005C226D" w:rsidRDefault="005C226D" w:rsidP="00075B53">
      <w:pPr>
        <w:spacing w:line="240" w:lineRule="auto"/>
        <w:jc w:val="both"/>
        <w:rPr>
          <w:b/>
          <w:bCs/>
          <w:sz w:val="20"/>
          <w:szCs w:val="20"/>
        </w:rPr>
      </w:pPr>
    </w:p>
    <w:p w:rsidR="00823C18" w:rsidRDefault="00823C18" w:rsidP="00075B53">
      <w:pPr>
        <w:spacing w:line="240" w:lineRule="auto"/>
        <w:jc w:val="both"/>
        <w:rPr>
          <w:b/>
          <w:bCs/>
          <w:sz w:val="20"/>
          <w:szCs w:val="20"/>
        </w:rPr>
      </w:pPr>
    </w:p>
    <w:p w:rsidR="001621CB" w:rsidRDefault="007E7362" w:rsidP="00075B53">
      <w:pPr>
        <w:spacing w:line="240" w:lineRule="auto"/>
        <w:jc w:val="both"/>
        <w:rPr>
          <w:b/>
          <w:bCs/>
          <w:i/>
          <w:iCs/>
          <w:sz w:val="20"/>
          <w:szCs w:val="20"/>
        </w:rPr>
      </w:pPr>
      <w:r>
        <w:rPr>
          <w:noProof/>
        </w:rPr>
        <w:pict>
          <v:shape id="_x0000_s1031" type="#_x0000_t75" style="position:absolute;left:0;text-align:left;margin-left:-5.6pt;margin-top:15.45pt;width:191.1pt;height:236.75pt;z-index:-1;mso-position-horizontal-relative:text;mso-position-vertical-relative:text" wrapcoords="1774 0 1774 21463 21600 21463 21600 0 1774 0">
            <v:imagedata r:id="rId9" o:title="figure 3"/>
            <w10:wrap type="tight"/>
          </v:shape>
        </w:pict>
      </w:r>
      <w:r w:rsidR="001621CB" w:rsidRPr="003221D8">
        <w:rPr>
          <w:b/>
          <w:bCs/>
          <w:sz w:val="20"/>
          <w:szCs w:val="20"/>
        </w:rPr>
        <w:t>Response of calcareous algae and gorgonian populations face the warming trend and the</w:t>
      </w:r>
      <w:r w:rsidR="001621CB">
        <w:rPr>
          <w:b/>
          <w:bCs/>
          <w:sz w:val="20"/>
          <w:szCs w:val="20"/>
        </w:rPr>
        <w:t xml:space="preserve"> </w:t>
      </w:r>
      <w:r w:rsidR="001621CB" w:rsidRPr="003221D8">
        <w:rPr>
          <w:b/>
          <w:bCs/>
          <w:sz w:val="20"/>
          <w:szCs w:val="20"/>
        </w:rPr>
        <w:t xml:space="preserve">invasive species </w:t>
      </w:r>
      <w:r w:rsidR="001621CB" w:rsidRPr="003221D8">
        <w:rPr>
          <w:b/>
          <w:bCs/>
          <w:i/>
          <w:iCs/>
          <w:sz w:val="20"/>
          <w:szCs w:val="20"/>
        </w:rPr>
        <w:t>Womersleyella setacea</w:t>
      </w:r>
      <w:r w:rsidR="001621CB" w:rsidRPr="003221D8">
        <w:rPr>
          <w:b/>
          <w:bCs/>
          <w:sz w:val="20"/>
          <w:szCs w:val="20"/>
        </w:rPr>
        <w:t xml:space="preserve"> and </w:t>
      </w:r>
      <w:r w:rsidR="001621CB" w:rsidRPr="003221D8">
        <w:rPr>
          <w:b/>
          <w:bCs/>
          <w:i/>
          <w:iCs/>
          <w:sz w:val="20"/>
          <w:szCs w:val="20"/>
        </w:rPr>
        <w:t>Caulerpa racemosa</w:t>
      </w:r>
    </w:p>
    <w:p w:rsidR="005C226D" w:rsidRPr="005C226D" w:rsidRDefault="005C226D" w:rsidP="00075B53">
      <w:pPr>
        <w:spacing w:line="240" w:lineRule="auto"/>
        <w:jc w:val="both"/>
        <w:rPr>
          <w:bCs/>
          <w:sz w:val="20"/>
          <w:szCs w:val="20"/>
        </w:rPr>
      </w:pPr>
    </w:p>
    <w:p w:rsidR="00006E40" w:rsidRPr="00B25B30" w:rsidRDefault="001621CB" w:rsidP="00075B53">
      <w:pPr>
        <w:spacing w:line="240" w:lineRule="auto"/>
        <w:jc w:val="both"/>
        <w:rPr>
          <w:sz w:val="20"/>
          <w:szCs w:val="20"/>
        </w:rPr>
      </w:pPr>
      <w:r w:rsidRPr="003221D8">
        <w:rPr>
          <w:sz w:val="20"/>
          <w:szCs w:val="20"/>
        </w:rPr>
        <w:t>In order to assess the thermotolerance thresholds of</w:t>
      </w:r>
      <w:r>
        <w:rPr>
          <w:sz w:val="20"/>
          <w:szCs w:val="20"/>
        </w:rPr>
        <w:t xml:space="preserve"> </w:t>
      </w:r>
      <w:r w:rsidRPr="003221D8">
        <w:rPr>
          <w:sz w:val="20"/>
          <w:szCs w:val="20"/>
        </w:rPr>
        <w:t>gorgonian I set up an experiment submitting the target species to different temperature treatments.</w:t>
      </w:r>
      <w:r>
        <w:rPr>
          <w:sz w:val="20"/>
          <w:szCs w:val="20"/>
        </w:rPr>
        <w:t xml:space="preserve"> </w:t>
      </w:r>
      <w:r w:rsidRPr="003221D8">
        <w:rPr>
          <w:sz w:val="20"/>
          <w:szCs w:val="20"/>
        </w:rPr>
        <w:t>Furthermore, in order to evaluate the potential adaptation of different populations dwelling with</w:t>
      </w:r>
      <w:r>
        <w:rPr>
          <w:sz w:val="20"/>
          <w:szCs w:val="20"/>
        </w:rPr>
        <w:t xml:space="preserve"> </w:t>
      </w:r>
      <w:r w:rsidRPr="003221D8">
        <w:rPr>
          <w:sz w:val="20"/>
          <w:szCs w:val="20"/>
        </w:rPr>
        <w:t>different environmental conditions and genetic origin, the experiment was carried out with two</w:t>
      </w:r>
      <w:r>
        <w:rPr>
          <w:sz w:val="20"/>
          <w:szCs w:val="20"/>
        </w:rPr>
        <w:t xml:space="preserve"> </w:t>
      </w:r>
      <w:r w:rsidRPr="003221D8">
        <w:rPr>
          <w:sz w:val="20"/>
          <w:szCs w:val="20"/>
        </w:rPr>
        <w:t>different populations developing in contrasting abiotic conditions. On the other hand, and thanks to</w:t>
      </w:r>
      <w:r>
        <w:rPr>
          <w:sz w:val="20"/>
          <w:szCs w:val="20"/>
        </w:rPr>
        <w:t xml:space="preserve"> </w:t>
      </w:r>
      <w:r w:rsidRPr="003221D8">
        <w:rPr>
          <w:sz w:val="20"/>
          <w:szCs w:val="20"/>
        </w:rPr>
        <w:t>the expertise of my scientific in charge we have set up several experiments in the laboratory in order</w:t>
      </w:r>
      <w:r>
        <w:rPr>
          <w:sz w:val="20"/>
          <w:szCs w:val="20"/>
        </w:rPr>
        <w:t xml:space="preserve"> </w:t>
      </w:r>
      <w:r w:rsidRPr="003221D8">
        <w:rPr>
          <w:sz w:val="20"/>
          <w:szCs w:val="20"/>
        </w:rPr>
        <w:t xml:space="preserve">to elucidate temperature and </w:t>
      </w:r>
      <w:r w:rsidRPr="003221D8">
        <w:rPr>
          <w:sz w:val="20"/>
          <w:szCs w:val="20"/>
        </w:rPr>
        <w:lastRenderedPageBreak/>
        <w:t>irradiance requirements and tolerance of the</w:t>
      </w:r>
      <w:r w:rsidR="00B25B30">
        <w:rPr>
          <w:sz w:val="20"/>
          <w:szCs w:val="20"/>
        </w:rPr>
        <w:t xml:space="preserve"> </w:t>
      </w:r>
      <w:r w:rsidRPr="003221D8">
        <w:rPr>
          <w:sz w:val="20"/>
          <w:szCs w:val="20"/>
        </w:rPr>
        <w:t>most important calcareous</w:t>
      </w:r>
      <w:r>
        <w:rPr>
          <w:sz w:val="20"/>
          <w:szCs w:val="20"/>
        </w:rPr>
        <w:t xml:space="preserve"> </w:t>
      </w:r>
      <w:r w:rsidRPr="003221D8">
        <w:rPr>
          <w:sz w:val="20"/>
          <w:szCs w:val="20"/>
        </w:rPr>
        <w:t>species thriving in the Mediterranean coraligenous.</w:t>
      </w:r>
      <w:bookmarkStart w:id="0" w:name="_GoBack"/>
      <w:bookmarkEnd w:id="0"/>
    </w:p>
    <w:p w:rsidR="001621CB" w:rsidRPr="003221D8" w:rsidRDefault="001621CB" w:rsidP="00075B53">
      <w:pPr>
        <w:spacing w:line="240" w:lineRule="auto"/>
        <w:jc w:val="both"/>
        <w:rPr>
          <w:b/>
          <w:bCs/>
          <w:sz w:val="20"/>
          <w:szCs w:val="20"/>
        </w:rPr>
      </w:pPr>
      <w:r w:rsidRPr="003221D8">
        <w:rPr>
          <w:b/>
          <w:bCs/>
          <w:sz w:val="20"/>
          <w:szCs w:val="20"/>
        </w:rPr>
        <w:t>Impacts of positive thermal events and invasive species on coralligenous communities</w:t>
      </w:r>
    </w:p>
    <w:p w:rsidR="001621CB" w:rsidRPr="006D3C6D" w:rsidRDefault="00006E40" w:rsidP="00075B53">
      <w:pPr>
        <w:spacing w:line="240" w:lineRule="auto"/>
        <w:jc w:val="both"/>
        <w:rPr>
          <w:sz w:val="20"/>
          <w:szCs w:val="20"/>
        </w:rPr>
      </w:pPr>
      <w:r>
        <w:rPr>
          <w:noProof/>
        </w:rPr>
        <w:pict>
          <v:shape id="_x0000_s1030" type="#_x0000_t75" style="position:absolute;left:0;text-align:left;margin-left:-9.35pt;margin-top:286.4pt;width:225.8pt;height:199.65pt;z-index:-2;mso-position-horizontal-relative:text;mso-position-vertical-relative:text" wrapcoords="-72 0 -72 21519 21600 21519 21600 0 -72 0">
            <v:imagedata r:id="rId10" o:title=""/>
            <w10:wrap type="tight"/>
          </v:shape>
        </w:pict>
      </w:r>
      <w:r>
        <w:rPr>
          <w:noProof/>
        </w:rPr>
        <w:pict>
          <v:shape id="_x0000_s1028" type="#_x0000_t75" style="position:absolute;left:0;text-align:left;margin-left:216.45pt;margin-top:6.8pt;width:191.6pt;height:295.95pt;z-index:-4;mso-position-horizontal-relative:text;mso-position-vertical-relative:text" wrapcoords="-138 0 -138 21421 21600 21421 21600 0 -138 0">
            <v:imagedata r:id="rId11" o:title=""/>
            <w10:wrap type="tight"/>
          </v:shape>
        </w:pict>
      </w:r>
      <w:r>
        <w:rPr>
          <w:noProof/>
        </w:rPr>
        <w:pict>
          <v:shape id="_x0000_s1029" type="#_x0000_t75" style="position:absolute;left:0;text-align:left;margin-left:-12.1pt;margin-top:6.8pt;width:214.85pt;height:240.35pt;z-index:-3;mso-position-horizontal-relative:text;mso-position-vertical-relative:text" wrapcoords="-86 0 -86 21447 21600 21447 21600 0 -86 0">
            <v:imagedata r:id="rId12" o:title=""/>
            <w10:wrap type="tight"/>
          </v:shape>
        </w:pict>
      </w:r>
      <w:r w:rsidR="001621CB" w:rsidRPr="003221D8">
        <w:rPr>
          <w:sz w:val="20"/>
          <w:szCs w:val="20"/>
        </w:rPr>
        <w:t>Both invasive species had</w:t>
      </w:r>
      <w:r w:rsidR="001621CB">
        <w:rPr>
          <w:sz w:val="20"/>
          <w:szCs w:val="20"/>
        </w:rPr>
        <w:t xml:space="preserve"> </w:t>
      </w:r>
      <w:r w:rsidR="001621CB" w:rsidRPr="003221D8">
        <w:rPr>
          <w:sz w:val="20"/>
          <w:szCs w:val="20"/>
        </w:rPr>
        <w:t xml:space="preserve">a strong and consistent negative effect on </w:t>
      </w:r>
      <w:r w:rsidR="001621CB" w:rsidRPr="003221D8">
        <w:rPr>
          <w:i/>
          <w:iCs/>
          <w:sz w:val="20"/>
          <w:szCs w:val="20"/>
        </w:rPr>
        <w:t>P. clavata</w:t>
      </w:r>
      <w:r w:rsidR="001621CB" w:rsidRPr="003221D8">
        <w:rPr>
          <w:sz w:val="20"/>
          <w:szCs w:val="20"/>
        </w:rPr>
        <w:t xml:space="preserve"> fitness, demonstrated by the lower survivorship,</w:t>
      </w:r>
      <w:r w:rsidR="001621CB">
        <w:rPr>
          <w:sz w:val="20"/>
          <w:szCs w:val="20"/>
        </w:rPr>
        <w:t xml:space="preserve"> </w:t>
      </w:r>
      <w:r w:rsidR="001621CB" w:rsidRPr="003221D8">
        <w:rPr>
          <w:sz w:val="20"/>
          <w:szCs w:val="20"/>
        </w:rPr>
        <w:t>higher necrosis rates and lower biomass of the colonies submitted to the invasive algae overgrowth.</w:t>
      </w:r>
      <w:r w:rsidR="001621CB">
        <w:rPr>
          <w:sz w:val="20"/>
          <w:szCs w:val="20"/>
        </w:rPr>
        <w:t xml:space="preserve"> </w:t>
      </w:r>
      <w:r w:rsidR="001621CB" w:rsidRPr="003221D8">
        <w:rPr>
          <w:sz w:val="20"/>
          <w:szCs w:val="20"/>
        </w:rPr>
        <w:t xml:space="preserve">Furthermore, considering that the persistence of </w:t>
      </w:r>
      <w:r w:rsidR="001621CB" w:rsidRPr="003221D8">
        <w:rPr>
          <w:i/>
          <w:iCs/>
          <w:sz w:val="20"/>
          <w:szCs w:val="20"/>
        </w:rPr>
        <w:t>P. clavata</w:t>
      </w:r>
      <w:r w:rsidR="001621CB" w:rsidRPr="003221D8">
        <w:rPr>
          <w:sz w:val="20"/>
          <w:szCs w:val="20"/>
        </w:rPr>
        <w:t xml:space="preserve"> populations affected by mass mortality</w:t>
      </w:r>
      <w:r w:rsidR="001621CB">
        <w:rPr>
          <w:sz w:val="20"/>
          <w:szCs w:val="20"/>
        </w:rPr>
        <w:t xml:space="preserve"> </w:t>
      </w:r>
      <w:r w:rsidR="001621CB" w:rsidRPr="003221D8">
        <w:rPr>
          <w:sz w:val="20"/>
          <w:szCs w:val="20"/>
        </w:rPr>
        <w:t>outbreaks mainly depends on the recovery of small colonies, the most susceptible to the invasive</w:t>
      </w:r>
      <w:r w:rsidR="001621CB">
        <w:rPr>
          <w:sz w:val="20"/>
          <w:szCs w:val="20"/>
        </w:rPr>
        <w:t xml:space="preserve"> </w:t>
      </w:r>
      <w:r w:rsidR="001621CB" w:rsidRPr="003221D8">
        <w:rPr>
          <w:sz w:val="20"/>
          <w:szCs w:val="20"/>
        </w:rPr>
        <w:t>species overgrowth, our results provided new insights into the additional negative effect of invasive</w:t>
      </w:r>
      <w:r w:rsidR="001621CB">
        <w:rPr>
          <w:sz w:val="20"/>
          <w:szCs w:val="20"/>
        </w:rPr>
        <w:t xml:space="preserve"> </w:t>
      </w:r>
      <w:r w:rsidR="001621CB" w:rsidRPr="003221D8">
        <w:rPr>
          <w:sz w:val="20"/>
          <w:szCs w:val="20"/>
        </w:rPr>
        <w:t xml:space="preserve">species on the recovery of </w:t>
      </w:r>
      <w:r w:rsidR="001621CB" w:rsidRPr="003221D8">
        <w:rPr>
          <w:i/>
          <w:iCs/>
          <w:sz w:val="20"/>
          <w:szCs w:val="20"/>
        </w:rPr>
        <w:t>P. clavata</w:t>
      </w:r>
      <w:r w:rsidR="001621CB" w:rsidRPr="003221D8">
        <w:rPr>
          <w:sz w:val="20"/>
          <w:szCs w:val="20"/>
        </w:rPr>
        <w:t xml:space="preserve"> populations already affected by mass mortality outbreaks.</w:t>
      </w:r>
    </w:p>
    <w:p w:rsidR="001621CB" w:rsidRDefault="001621CB" w:rsidP="006D3C6D">
      <w:pPr>
        <w:jc w:val="both"/>
      </w:pPr>
    </w:p>
    <w:sectPr w:rsidR="001621CB" w:rsidSect="004E35F1">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7A" w:rsidRDefault="004A487A" w:rsidP="000A7656">
      <w:pPr>
        <w:spacing w:after="0" w:line="240" w:lineRule="auto"/>
      </w:pPr>
      <w:r>
        <w:separator/>
      </w:r>
    </w:p>
  </w:endnote>
  <w:endnote w:type="continuationSeparator" w:id="0">
    <w:p w:rsidR="004A487A" w:rsidRDefault="004A487A" w:rsidP="000A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CB" w:rsidRDefault="002E3B34">
    <w:pPr>
      <w:pStyle w:val="Piedepgina"/>
      <w:jc w:val="center"/>
    </w:pPr>
    <w:r>
      <w:fldChar w:fldCharType="begin"/>
    </w:r>
    <w:r>
      <w:instrText>PAGE   \* MERGEFORMAT</w:instrText>
    </w:r>
    <w:r>
      <w:fldChar w:fldCharType="separate"/>
    </w:r>
    <w:r w:rsidR="00B25B30">
      <w:rPr>
        <w:noProof/>
      </w:rPr>
      <w:t>2</w:t>
    </w:r>
    <w:r>
      <w:rPr>
        <w:noProof/>
      </w:rPr>
      <w:fldChar w:fldCharType="end"/>
    </w:r>
  </w:p>
  <w:p w:rsidR="001621CB" w:rsidRDefault="00162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7A" w:rsidRDefault="004A487A" w:rsidP="000A7656">
      <w:pPr>
        <w:spacing w:after="0" w:line="240" w:lineRule="auto"/>
      </w:pPr>
      <w:r>
        <w:separator/>
      </w:r>
    </w:p>
  </w:footnote>
  <w:footnote w:type="continuationSeparator" w:id="0">
    <w:p w:rsidR="004A487A" w:rsidRDefault="004A487A" w:rsidP="000A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CB" w:rsidRDefault="001621CB">
    <w:pPr>
      <w:pStyle w:val="Encabezado"/>
    </w:pPr>
    <w:r w:rsidRPr="000A7656">
      <w:rPr>
        <w:b/>
        <w:bCs/>
      </w:rPr>
      <w:t>CoralChange</w:t>
    </w:r>
    <w:r>
      <w:t xml:space="preserve"> – </w:t>
    </w:r>
    <w:r w:rsidR="005A17A1">
      <w:t>Final</w:t>
    </w:r>
    <w: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B43D8"/>
    <w:multiLevelType w:val="hybridMultilevel"/>
    <w:tmpl w:val="CED2CB5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4B565AD3"/>
    <w:multiLevelType w:val="hybridMultilevel"/>
    <w:tmpl w:val="B35C5B64"/>
    <w:lvl w:ilvl="0" w:tplc="04030001">
      <w:start w:val="1"/>
      <w:numFmt w:val="bullet"/>
      <w:lvlText w:val=""/>
      <w:lvlJc w:val="left"/>
      <w:pPr>
        <w:tabs>
          <w:tab w:val="num" w:pos="720"/>
        </w:tabs>
        <w:ind w:left="720" w:hanging="360"/>
      </w:pPr>
      <w:rPr>
        <w:rFonts w:ascii="Symbol"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2">
    <w:nsid w:val="5B034C16"/>
    <w:multiLevelType w:val="hybridMultilevel"/>
    <w:tmpl w:val="5576E7C2"/>
    <w:lvl w:ilvl="0" w:tplc="04030001">
      <w:start w:val="1"/>
      <w:numFmt w:val="bullet"/>
      <w:lvlText w:val=""/>
      <w:lvlJc w:val="left"/>
      <w:pPr>
        <w:ind w:left="720" w:hanging="360"/>
      </w:pPr>
      <w:rPr>
        <w:rFonts w:ascii="Symbol" w:hAnsi="Symbol" w:cs="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cs="Wingdings" w:hint="default"/>
      </w:rPr>
    </w:lvl>
    <w:lvl w:ilvl="3" w:tplc="04030001">
      <w:start w:val="1"/>
      <w:numFmt w:val="bullet"/>
      <w:lvlText w:val=""/>
      <w:lvlJc w:val="left"/>
      <w:pPr>
        <w:ind w:left="2880" w:hanging="360"/>
      </w:pPr>
      <w:rPr>
        <w:rFonts w:ascii="Symbol" w:hAnsi="Symbol" w:cs="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cs="Wingdings" w:hint="default"/>
      </w:rPr>
    </w:lvl>
    <w:lvl w:ilvl="6" w:tplc="04030001">
      <w:start w:val="1"/>
      <w:numFmt w:val="bullet"/>
      <w:lvlText w:val=""/>
      <w:lvlJc w:val="left"/>
      <w:pPr>
        <w:ind w:left="5040" w:hanging="360"/>
      </w:pPr>
      <w:rPr>
        <w:rFonts w:ascii="Symbol" w:hAnsi="Symbol" w:cs="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hideSpellingErrors/>
  <w:proofState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C6D"/>
    <w:rsid w:val="00006E40"/>
    <w:rsid w:val="0003221D"/>
    <w:rsid w:val="00075B53"/>
    <w:rsid w:val="000A7656"/>
    <w:rsid w:val="001621CB"/>
    <w:rsid w:val="00162622"/>
    <w:rsid w:val="00180BD3"/>
    <w:rsid w:val="001E41A7"/>
    <w:rsid w:val="00257C61"/>
    <w:rsid w:val="002918CC"/>
    <w:rsid w:val="002D5C01"/>
    <w:rsid w:val="002E3B34"/>
    <w:rsid w:val="002F4B14"/>
    <w:rsid w:val="003221D8"/>
    <w:rsid w:val="003628BE"/>
    <w:rsid w:val="003D2362"/>
    <w:rsid w:val="004831FE"/>
    <w:rsid w:val="004A487A"/>
    <w:rsid w:val="004E35F1"/>
    <w:rsid w:val="004F1373"/>
    <w:rsid w:val="0058580F"/>
    <w:rsid w:val="005A17A1"/>
    <w:rsid w:val="005C226D"/>
    <w:rsid w:val="006555FB"/>
    <w:rsid w:val="006D3C6D"/>
    <w:rsid w:val="007E7362"/>
    <w:rsid w:val="00823C18"/>
    <w:rsid w:val="0083405C"/>
    <w:rsid w:val="008F4F6D"/>
    <w:rsid w:val="009061A6"/>
    <w:rsid w:val="0092686B"/>
    <w:rsid w:val="009A1A81"/>
    <w:rsid w:val="009C58EA"/>
    <w:rsid w:val="009D2DAF"/>
    <w:rsid w:val="009D37B9"/>
    <w:rsid w:val="009F028E"/>
    <w:rsid w:val="00AD6EDA"/>
    <w:rsid w:val="00B02E43"/>
    <w:rsid w:val="00B25B30"/>
    <w:rsid w:val="00CD4834"/>
    <w:rsid w:val="00CF5DB6"/>
    <w:rsid w:val="00D23B41"/>
    <w:rsid w:val="00E7067B"/>
    <w:rsid w:val="00F30A38"/>
    <w:rsid w:val="00FA5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F1"/>
    <w:pPr>
      <w:spacing w:after="200" w:line="276" w:lineRule="auto"/>
    </w:pPr>
    <w:rPr>
      <w:rFonts w:cs="Calibri"/>
      <w:sz w:val="22"/>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6D3C6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br">
    <w:name w:val="nobr"/>
    <w:basedOn w:val="Fuentedeprrafopredeter"/>
    <w:uiPriority w:val="99"/>
    <w:rsid w:val="006D3C6D"/>
  </w:style>
  <w:style w:type="character" w:styleId="Textoennegrita">
    <w:name w:val="Strong"/>
    <w:uiPriority w:val="99"/>
    <w:qFormat/>
    <w:rsid w:val="006D3C6D"/>
    <w:rPr>
      <w:b/>
      <w:bCs/>
    </w:rPr>
  </w:style>
  <w:style w:type="paragraph" w:styleId="Prrafodelista">
    <w:name w:val="List Paragraph"/>
    <w:basedOn w:val="Normal"/>
    <w:uiPriority w:val="99"/>
    <w:qFormat/>
    <w:rsid w:val="006D3C6D"/>
    <w:pPr>
      <w:ind w:left="720"/>
    </w:pPr>
  </w:style>
  <w:style w:type="paragraph" w:styleId="Encabezado">
    <w:name w:val="header"/>
    <w:basedOn w:val="Normal"/>
    <w:link w:val="EncabezadoCar"/>
    <w:uiPriority w:val="99"/>
    <w:rsid w:val="000A765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locked/>
    <w:rsid w:val="000A7656"/>
  </w:style>
  <w:style w:type="paragraph" w:styleId="Piedepgina">
    <w:name w:val="footer"/>
    <w:basedOn w:val="Normal"/>
    <w:link w:val="PiedepginaCar"/>
    <w:uiPriority w:val="99"/>
    <w:rsid w:val="000A765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locked/>
    <w:rsid w:val="000A7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64628">
      <w:marLeft w:val="0"/>
      <w:marRight w:val="0"/>
      <w:marTop w:val="0"/>
      <w:marBottom w:val="0"/>
      <w:divBdr>
        <w:top w:val="none" w:sz="0" w:space="0" w:color="auto"/>
        <w:left w:val="none" w:sz="0" w:space="0" w:color="auto"/>
        <w:bottom w:val="none" w:sz="0" w:space="0" w:color="auto"/>
        <w:right w:val="none" w:sz="0" w:space="0" w:color="auto"/>
      </w:divBdr>
    </w:div>
    <w:div w:id="1747264629">
      <w:marLeft w:val="0"/>
      <w:marRight w:val="0"/>
      <w:marTop w:val="0"/>
      <w:marBottom w:val="0"/>
      <w:divBdr>
        <w:top w:val="none" w:sz="0" w:space="0" w:color="auto"/>
        <w:left w:val="none" w:sz="0" w:space="0" w:color="auto"/>
        <w:bottom w:val="none" w:sz="0" w:space="0" w:color="auto"/>
        <w:right w:val="none" w:sz="0" w:space="0" w:color="auto"/>
      </w:divBdr>
    </w:div>
    <w:div w:id="1747264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A82BD353AAE418D822E416B8D8674" ma:contentTypeVersion="13" ma:contentTypeDescription="Create a new document." ma:contentTypeScope="" ma:versionID="c3dcb4b67e965512cc70d456f4c6857e">
  <xsd:schema xmlns:xsd="http://www.w3.org/2001/XMLSchema" xmlns:xs="http://www.w3.org/2001/XMLSchema" xmlns:p="http://schemas.microsoft.com/office/2006/metadata/properties" xmlns:ns2="0567e428-2492-4d1b-a20c-23b276d8279d" xmlns:ns3="80af9ce7-45e2-4f5a-98a6-8c1dcd3aeae7" targetNamespace="http://schemas.microsoft.com/office/2006/metadata/properties" ma:root="true" ma:fieldsID="ef185413b151aa9abf3ef7f6ed30a2a1" ns2:_="" ns3:_="">
    <xsd:import namespace="0567e428-2492-4d1b-a20c-23b276d8279d"/>
    <xsd:import namespace="80af9ce7-45e2-4f5a-98a6-8c1dcd3aea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7e428-2492-4d1b-a20c-23b276d82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a8f27fb-987c-4c0d-885b-028858e9a1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f9ce7-45e2-4f5a-98a6-8c1dcd3aeae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34e613-b819-4149-999c-e117a5c61deb}" ma:internalName="TaxCatchAll" ma:showField="CatchAllData" ma:web="80af9ce7-45e2-4f5a-98a6-8c1dcd3aeae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67e428-2492-4d1b-a20c-23b276d8279d">
      <Terms xmlns="http://schemas.microsoft.com/office/infopath/2007/PartnerControls"/>
    </lcf76f155ced4ddcb4097134ff3c332f>
    <TaxCatchAll xmlns="80af9ce7-45e2-4f5a-98a6-8c1dcd3aeae7" xsi:nil="true"/>
  </documentManagement>
</p:properties>
</file>

<file path=customXml/itemProps1.xml><?xml version="1.0" encoding="utf-8"?>
<ds:datastoreItem xmlns:ds="http://schemas.openxmlformats.org/officeDocument/2006/customXml" ds:itemID="{7B93D07B-6F7A-45A7-9C99-53E48748E505}"/>
</file>

<file path=customXml/itemProps2.xml><?xml version="1.0" encoding="utf-8"?>
<ds:datastoreItem xmlns:ds="http://schemas.openxmlformats.org/officeDocument/2006/customXml" ds:itemID="{91594DD3-4141-4C46-BD6F-FB4C86E60FD8}"/>
</file>

<file path=customXml/itemProps3.xml><?xml version="1.0" encoding="utf-8"?>
<ds:datastoreItem xmlns:ds="http://schemas.openxmlformats.org/officeDocument/2006/customXml" ds:itemID="{A1482CB8-7DC1-46AA-992C-9B2F107E125B}"/>
</file>

<file path=docProps/app.xml><?xml version="1.0" encoding="utf-8"?>
<Properties xmlns="http://schemas.openxmlformats.org/officeDocument/2006/extended-properties" xmlns:vt="http://schemas.openxmlformats.org/officeDocument/2006/docPropsVTypes">
  <Template>Normal</Template>
  <TotalTime>45</TotalTime>
  <Pages>2</Pages>
  <Words>476</Words>
  <Characters>2714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1</vt:lpstr>
    </vt:vector>
  </TitlesOfParts>
  <Company>UdG</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Gestió Equip UdG</dc:creator>
  <cp:lastModifiedBy>FdC</cp:lastModifiedBy>
  <cp:revision>6</cp:revision>
  <dcterms:created xsi:type="dcterms:W3CDTF">2013-01-07T11:26:00Z</dcterms:created>
  <dcterms:modified xsi:type="dcterms:W3CDTF">2013-01-07T12:14:00Z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0x010100197A82BD353AAE418D822E416B8D8674</vt:lpwstr>
  </property>
</Properties>
</file>