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1C" w:rsidRPr="001F215C" w:rsidRDefault="0089561C" w:rsidP="0089561C">
      <w:pPr>
        <w:shd w:val="clear" w:color="auto" w:fill="FFFFFF"/>
        <w:spacing w:line="240" w:lineRule="auto"/>
        <w:jc w:val="left"/>
        <w:textAlignment w:val="center"/>
        <w:rPr>
          <w:rFonts w:cs="Arial"/>
          <w:b/>
          <w:szCs w:val="22"/>
        </w:rPr>
      </w:pPr>
      <w:r w:rsidRPr="001F215C">
        <w:rPr>
          <w:rFonts w:cs="Arial"/>
          <w:b/>
          <w:szCs w:val="22"/>
        </w:rPr>
        <w:t>FINAL PUBLISHABLE SUMMARY REPORT</w:t>
      </w:r>
    </w:p>
    <w:p w:rsidR="005635D7" w:rsidRPr="001F215C" w:rsidRDefault="005635D7" w:rsidP="005635D7">
      <w:pPr>
        <w:shd w:val="clear" w:color="auto" w:fill="FFFFFF"/>
        <w:spacing w:line="240" w:lineRule="auto"/>
        <w:jc w:val="left"/>
        <w:textAlignment w:val="center"/>
        <w:rPr>
          <w:rFonts w:cs="Arial"/>
          <w:b/>
          <w:szCs w:val="22"/>
        </w:rPr>
      </w:pPr>
      <w:r>
        <w:rPr>
          <w:rFonts w:cs="Arial"/>
          <w:b/>
          <w:szCs w:val="22"/>
        </w:rPr>
        <w:t>PUBLISHABLE SUMMARY</w:t>
      </w:r>
    </w:p>
    <w:p w:rsidR="005635D7" w:rsidRPr="001F215C" w:rsidRDefault="005635D7" w:rsidP="005635D7">
      <w:pPr>
        <w:autoSpaceDE w:val="0"/>
        <w:autoSpaceDN w:val="0"/>
        <w:adjustRightInd w:val="0"/>
        <w:spacing w:line="240" w:lineRule="auto"/>
        <w:rPr>
          <w:rStyle w:val="Emphasis"/>
          <w:rFonts w:eastAsia="Calibri" w:cs="Arial"/>
          <w:i w:val="0"/>
          <w:szCs w:val="22"/>
        </w:rPr>
      </w:pPr>
      <w:r w:rsidRPr="001F215C">
        <w:rPr>
          <w:rFonts w:eastAsia="TimesNewRoman" w:cs="Arial"/>
          <w:b/>
          <w:szCs w:val="22"/>
        </w:rPr>
        <w:t>Project title:</w:t>
      </w:r>
      <w:r w:rsidRPr="001F215C">
        <w:rPr>
          <w:rStyle w:val="Emphasis"/>
          <w:rFonts w:cs="Arial"/>
          <w:szCs w:val="22"/>
        </w:rPr>
        <w:t xml:space="preserve"> F</w:t>
      </w:r>
      <w:r w:rsidRPr="001F215C">
        <w:rPr>
          <w:rStyle w:val="Emphasis"/>
          <w:rFonts w:eastAsia="Calibri" w:cs="Arial"/>
          <w:szCs w:val="22"/>
        </w:rPr>
        <w:t>actors Regulating the Input of Terrestrial Material and Patterns in Food Web Structure in African Inland Aquatic Systems</w:t>
      </w:r>
    </w:p>
    <w:p w:rsidR="005635D7" w:rsidRPr="001F215C" w:rsidRDefault="005635D7" w:rsidP="005635D7">
      <w:pPr>
        <w:autoSpaceDE w:val="0"/>
        <w:autoSpaceDN w:val="0"/>
        <w:adjustRightInd w:val="0"/>
        <w:spacing w:line="240" w:lineRule="auto"/>
        <w:rPr>
          <w:rFonts w:eastAsia="TimesNewRoman" w:cs="Arial"/>
          <w:b/>
          <w:szCs w:val="22"/>
        </w:rPr>
      </w:pPr>
    </w:p>
    <w:p w:rsidR="005635D7" w:rsidRPr="001F215C" w:rsidRDefault="005635D7" w:rsidP="005635D7">
      <w:pPr>
        <w:autoSpaceDE w:val="0"/>
        <w:autoSpaceDN w:val="0"/>
        <w:adjustRightInd w:val="0"/>
        <w:spacing w:after="0" w:line="240" w:lineRule="auto"/>
        <w:rPr>
          <w:rFonts w:eastAsia="TimesNewRoman" w:cs="Arial"/>
          <w:b/>
          <w:szCs w:val="22"/>
        </w:rPr>
      </w:pPr>
      <w:r w:rsidRPr="001F215C">
        <w:rPr>
          <w:rFonts w:eastAsia="TimesNewRoman" w:cs="Arial"/>
          <w:b/>
          <w:szCs w:val="22"/>
        </w:rPr>
        <w:t>Aims</w:t>
      </w:r>
    </w:p>
    <w:p w:rsidR="005635D7" w:rsidRPr="001F215C" w:rsidRDefault="005635D7" w:rsidP="005635D7">
      <w:pPr>
        <w:autoSpaceDE w:val="0"/>
        <w:autoSpaceDN w:val="0"/>
        <w:adjustRightInd w:val="0"/>
        <w:spacing w:line="240" w:lineRule="auto"/>
        <w:rPr>
          <w:rFonts w:eastAsia="TimesNewRoman" w:cs="Arial"/>
          <w:szCs w:val="22"/>
        </w:rPr>
      </w:pPr>
      <w:r w:rsidRPr="001F215C">
        <w:rPr>
          <w:rFonts w:eastAsia="TimesNewRoman" w:cs="Arial"/>
          <w:szCs w:val="22"/>
        </w:rPr>
        <w:t xml:space="preserve">The aim of the study was to develop a better understanding of the main sources of energy and the food </w:t>
      </w:r>
      <w:r>
        <w:rPr>
          <w:rFonts w:eastAsia="TimesNewRoman" w:cs="Arial"/>
          <w:szCs w:val="22"/>
        </w:rPr>
        <w:t>web structure in (sub</w:t>
      </w:r>
      <w:proofErr w:type="gramStart"/>
      <w:r>
        <w:rPr>
          <w:rFonts w:eastAsia="TimesNewRoman" w:cs="Arial"/>
          <w:szCs w:val="22"/>
        </w:rPr>
        <w:t>)tropical</w:t>
      </w:r>
      <w:proofErr w:type="gramEnd"/>
      <w:r>
        <w:rPr>
          <w:rFonts w:eastAsia="TimesNewRoman" w:cs="Arial"/>
          <w:szCs w:val="22"/>
        </w:rPr>
        <w:t xml:space="preserve"> e</w:t>
      </w:r>
      <w:r w:rsidRPr="001F215C">
        <w:rPr>
          <w:rFonts w:eastAsia="TimesNewRoman" w:cs="Arial"/>
          <w:szCs w:val="22"/>
        </w:rPr>
        <w:t xml:space="preserve">ast African systems. The specific objectives were to determine the importance of imported (terrestrial) material for consumer communities and to describe food web </w:t>
      </w:r>
      <w:proofErr w:type="spellStart"/>
      <w:r w:rsidRPr="001F215C">
        <w:rPr>
          <w:rFonts w:eastAsia="TimesNewRoman" w:cs="Arial"/>
          <w:szCs w:val="22"/>
        </w:rPr>
        <w:t>organisation</w:t>
      </w:r>
      <w:proofErr w:type="spellEnd"/>
      <w:r w:rsidRPr="001F215C">
        <w:rPr>
          <w:rFonts w:eastAsia="TimesNewRoman" w:cs="Arial"/>
          <w:szCs w:val="22"/>
        </w:rPr>
        <w:t xml:space="preserve"> in </w:t>
      </w:r>
      <w:r>
        <w:rPr>
          <w:rFonts w:eastAsia="TimesNewRoman" w:cs="Arial"/>
          <w:szCs w:val="22"/>
        </w:rPr>
        <w:t xml:space="preserve">those </w:t>
      </w:r>
      <w:r w:rsidRPr="001F215C">
        <w:rPr>
          <w:rFonts w:eastAsia="TimesNewRoman" w:cs="Arial"/>
          <w:szCs w:val="22"/>
        </w:rPr>
        <w:t>freshwater and estuarine systems.</w:t>
      </w:r>
    </w:p>
    <w:p w:rsidR="005635D7" w:rsidRPr="001F215C" w:rsidRDefault="005635D7" w:rsidP="005635D7">
      <w:pPr>
        <w:autoSpaceDE w:val="0"/>
        <w:autoSpaceDN w:val="0"/>
        <w:adjustRightInd w:val="0"/>
        <w:spacing w:line="240" w:lineRule="auto"/>
        <w:rPr>
          <w:rFonts w:eastAsia="TimesNewRoman" w:cs="Arial"/>
          <w:b/>
          <w:szCs w:val="22"/>
        </w:rPr>
      </w:pPr>
    </w:p>
    <w:p w:rsidR="005635D7" w:rsidRPr="001F215C" w:rsidRDefault="005635D7" w:rsidP="005635D7">
      <w:pPr>
        <w:autoSpaceDE w:val="0"/>
        <w:autoSpaceDN w:val="0"/>
        <w:adjustRightInd w:val="0"/>
        <w:spacing w:after="0" w:line="240" w:lineRule="auto"/>
        <w:rPr>
          <w:rFonts w:eastAsia="TimesNewRoman" w:cs="Arial"/>
          <w:b/>
          <w:szCs w:val="22"/>
        </w:rPr>
      </w:pPr>
      <w:r w:rsidRPr="001F215C">
        <w:rPr>
          <w:rFonts w:eastAsia="TimesNewRoman" w:cs="Arial"/>
          <w:b/>
          <w:szCs w:val="22"/>
        </w:rPr>
        <w:t>Methods</w:t>
      </w:r>
    </w:p>
    <w:p w:rsidR="005635D7" w:rsidRDefault="005635D7" w:rsidP="005635D7">
      <w:pPr>
        <w:autoSpaceDE w:val="0"/>
        <w:autoSpaceDN w:val="0"/>
        <w:adjustRightInd w:val="0"/>
        <w:spacing w:line="240" w:lineRule="auto"/>
        <w:rPr>
          <w:rFonts w:eastAsia="TimesNewRoman" w:cs="Arial"/>
          <w:szCs w:val="22"/>
        </w:rPr>
      </w:pPr>
      <w:r w:rsidRPr="001F215C">
        <w:rPr>
          <w:rFonts w:eastAsia="TimesNewRoman" w:cs="Arial"/>
          <w:szCs w:val="22"/>
        </w:rPr>
        <w:t xml:space="preserve">Five systems whose catchments </w:t>
      </w:r>
      <w:r w:rsidRPr="001F215C">
        <w:rPr>
          <w:rFonts w:cs="Arial"/>
          <w:szCs w:val="22"/>
        </w:rPr>
        <w:t>differ in C3 and C4 vegetation cover</w:t>
      </w:r>
      <w:r w:rsidRPr="001F215C">
        <w:rPr>
          <w:rFonts w:eastAsia="TimesNewRoman" w:cs="Arial"/>
          <w:szCs w:val="22"/>
        </w:rPr>
        <w:t xml:space="preserve"> were sampled: </w:t>
      </w:r>
      <w:r>
        <w:rPr>
          <w:rFonts w:eastAsia="TimesNewRoman" w:cs="Arial"/>
          <w:szCs w:val="22"/>
        </w:rPr>
        <w:t xml:space="preserve">the </w:t>
      </w:r>
      <w:r w:rsidRPr="001F215C">
        <w:rPr>
          <w:rFonts w:eastAsia="TimesNewRoman" w:cs="Arial"/>
          <w:szCs w:val="22"/>
        </w:rPr>
        <w:t xml:space="preserve">Zambezi in Mozambique </w:t>
      </w:r>
      <w:r w:rsidRPr="001F215C">
        <w:rPr>
          <w:rFonts w:cs="Arial"/>
          <w:szCs w:val="22"/>
        </w:rPr>
        <w:t>(catchment with a C3/C4 cover of 61/39%)</w:t>
      </w:r>
      <w:r w:rsidRPr="001F215C">
        <w:rPr>
          <w:rFonts w:eastAsia="TimesNewRoman" w:cs="Arial"/>
          <w:szCs w:val="22"/>
        </w:rPr>
        <w:t xml:space="preserve">, the </w:t>
      </w:r>
      <w:proofErr w:type="spellStart"/>
      <w:r w:rsidRPr="001F215C">
        <w:rPr>
          <w:rFonts w:eastAsia="TimesNewRoman" w:cs="Arial"/>
          <w:szCs w:val="22"/>
        </w:rPr>
        <w:t>Tana</w:t>
      </w:r>
      <w:proofErr w:type="spellEnd"/>
      <w:r w:rsidRPr="001F215C">
        <w:rPr>
          <w:rFonts w:eastAsia="TimesNewRoman" w:cs="Arial"/>
          <w:szCs w:val="22"/>
        </w:rPr>
        <w:t xml:space="preserve"> in Kenya</w:t>
      </w:r>
      <w:r w:rsidRPr="001F215C">
        <w:rPr>
          <w:rFonts w:cs="Arial"/>
          <w:szCs w:val="22"/>
        </w:rPr>
        <w:t xml:space="preserve"> (36/64%)</w:t>
      </w:r>
      <w:r w:rsidRPr="001F215C">
        <w:rPr>
          <w:rFonts w:eastAsia="TimesNewRoman" w:cs="Arial"/>
          <w:szCs w:val="22"/>
        </w:rPr>
        <w:t xml:space="preserve"> and the </w:t>
      </w:r>
      <w:proofErr w:type="spellStart"/>
      <w:r w:rsidRPr="001F215C">
        <w:rPr>
          <w:rFonts w:eastAsia="TimesNewRoman" w:cs="Arial"/>
          <w:szCs w:val="22"/>
        </w:rPr>
        <w:t>Betsiboka</w:t>
      </w:r>
      <w:proofErr w:type="spellEnd"/>
      <w:r w:rsidRPr="001F215C">
        <w:rPr>
          <w:rFonts w:eastAsia="TimesNewRoman" w:cs="Arial"/>
          <w:szCs w:val="22"/>
        </w:rPr>
        <w:t xml:space="preserve"> </w:t>
      </w:r>
      <w:r w:rsidRPr="001F215C">
        <w:rPr>
          <w:rFonts w:cs="Arial"/>
          <w:szCs w:val="22"/>
        </w:rPr>
        <w:t xml:space="preserve">(42/58%), </w:t>
      </w:r>
      <w:proofErr w:type="spellStart"/>
      <w:r w:rsidRPr="001F215C">
        <w:rPr>
          <w:rFonts w:eastAsia="TimesNewRoman" w:cs="Arial"/>
          <w:szCs w:val="22"/>
        </w:rPr>
        <w:t>Rianila</w:t>
      </w:r>
      <w:proofErr w:type="spellEnd"/>
      <w:r w:rsidRPr="001F215C">
        <w:rPr>
          <w:rFonts w:eastAsia="TimesNewRoman" w:cs="Arial"/>
          <w:szCs w:val="22"/>
        </w:rPr>
        <w:t xml:space="preserve"> </w:t>
      </w:r>
      <w:r w:rsidRPr="001F215C">
        <w:rPr>
          <w:rFonts w:cs="Arial"/>
          <w:szCs w:val="22"/>
        </w:rPr>
        <w:t xml:space="preserve">(85/15%) and </w:t>
      </w:r>
      <w:proofErr w:type="spellStart"/>
      <w:r w:rsidRPr="001F215C">
        <w:rPr>
          <w:rFonts w:cs="Arial"/>
          <w:szCs w:val="22"/>
        </w:rPr>
        <w:t>Pangalanes</w:t>
      </w:r>
      <w:proofErr w:type="spellEnd"/>
      <w:r w:rsidRPr="001F215C">
        <w:rPr>
          <w:rFonts w:cs="Arial"/>
          <w:szCs w:val="22"/>
        </w:rPr>
        <w:t xml:space="preserve"> Canal (85/15%) </w:t>
      </w:r>
      <w:r w:rsidRPr="001F215C">
        <w:rPr>
          <w:rFonts w:eastAsia="TimesNewRoman" w:cs="Arial"/>
          <w:szCs w:val="22"/>
        </w:rPr>
        <w:t>in Madagascar.</w:t>
      </w:r>
      <w:r w:rsidRPr="001F215C">
        <w:rPr>
          <w:rFonts w:cs="Arial"/>
          <w:szCs w:val="22"/>
        </w:rPr>
        <w:t xml:space="preserve"> As C3 and C4 vegetation differ strongly in </w:t>
      </w:r>
      <w:proofErr w:type="spellStart"/>
      <w:r w:rsidRPr="001F215C">
        <w:rPr>
          <w:rFonts w:cs="Arial"/>
          <w:szCs w:val="22"/>
        </w:rPr>
        <w:t>δ</w:t>
      </w:r>
      <w:r w:rsidRPr="001F215C">
        <w:rPr>
          <w:rFonts w:cs="Arial"/>
          <w:szCs w:val="22"/>
          <w:vertAlign w:val="superscript"/>
        </w:rPr>
        <w:t>13</w:t>
      </w:r>
      <w:r w:rsidRPr="001F215C">
        <w:rPr>
          <w:rFonts w:cs="Arial"/>
          <w:szCs w:val="22"/>
        </w:rPr>
        <w:t>C</w:t>
      </w:r>
      <w:proofErr w:type="spellEnd"/>
      <w:r w:rsidRPr="001F215C">
        <w:rPr>
          <w:rFonts w:cs="Arial"/>
          <w:szCs w:val="22"/>
        </w:rPr>
        <w:t xml:space="preserve"> signatures, we anticipated that terrestrial subsidies would be reflected in a gradient in estuarine consumer </w:t>
      </w:r>
      <w:proofErr w:type="spellStart"/>
      <w:r w:rsidRPr="001F215C">
        <w:rPr>
          <w:rFonts w:cs="Arial"/>
          <w:szCs w:val="22"/>
        </w:rPr>
        <w:t>δ</w:t>
      </w:r>
      <w:r w:rsidRPr="001F215C">
        <w:rPr>
          <w:rFonts w:cs="Arial"/>
          <w:szCs w:val="22"/>
          <w:vertAlign w:val="superscript"/>
        </w:rPr>
        <w:t>13</w:t>
      </w:r>
      <w:r w:rsidRPr="001F215C">
        <w:rPr>
          <w:rFonts w:cs="Arial"/>
          <w:szCs w:val="22"/>
        </w:rPr>
        <w:t>C</w:t>
      </w:r>
      <w:proofErr w:type="spellEnd"/>
      <w:r w:rsidRPr="001F215C">
        <w:rPr>
          <w:rFonts w:cs="Arial"/>
          <w:szCs w:val="22"/>
        </w:rPr>
        <w:t xml:space="preserve"> values, following the relative importance of C3 (</w:t>
      </w:r>
      <w:proofErr w:type="spellStart"/>
      <w:r w:rsidRPr="001F215C">
        <w:rPr>
          <w:rFonts w:cs="Arial"/>
          <w:szCs w:val="22"/>
        </w:rPr>
        <w:t>characterised</w:t>
      </w:r>
      <w:proofErr w:type="spellEnd"/>
      <w:r w:rsidRPr="001F215C">
        <w:rPr>
          <w:rFonts w:cs="Arial"/>
          <w:szCs w:val="22"/>
        </w:rPr>
        <w:t xml:space="preserve"> by low </w:t>
      </w:r>
      <w:proofErr w:type="spellStart"/>
      <w:r w:rsidRPr="001F215C">
        <w:rPr>
          <w:rFonts w:cs="Arial"/>
          <w:szCs w:val="22"/>
        </w:rPr>
        <w:t>δ</w:t>
      </w:r>
      <w:r w:rsidRPr="001F215C">
        <w:rPr>
          <w:rFonts w:cs="Arial"/>
          <w:szCs w:val="22"/>
          <w:vertAlign w:val="superscript"/>
        </w:rPr>
        <w:t>13</w:t>
      </w:r>
      <w:r w:rsidRPr="001F215C">
        <w:rPr>
          <w:rFonts w:cs="Arial"/>
          <w:szCs w:val="22"/>
        </w:rPr>
        <w:t>C</w:t>
      </w:r>
      <w:proofErr w:type="spellEnd"/>
      <w:r w:rsidRPr="001F215C">
        <w:rPr>
          <w:rFonts w:cs="Arial"/>
          <w:szCs w:val="22"/>
        </w:rPr>
        <w:t>) vs. C4 (</w:t>
      </w:r>
      <w:proofErr w:type="spellStart"/>
      <w:r w:rsidRPr="001F215C">
        <w:rPr>
          <w:rFonts w:cs="Arial"/>
          <w:szCs w:val="22"/>
        </w:rPr>
        <w:t>characterised</w:t>
      </w:r>
      <w:proofErr w:type="spellEnd"/>
      <w:r w:rsidRPr="001F215C">
        <w:rPr>
          <w:rFonts w:cs="Arial"/>
          <w:szCs w:val="22"/>
        </w:rPr>
        <w:t xml:space="preserve"> by high </w:t>
      </w:r>
      <w:proofErr w:type="spellStart"/>
      <w:r w:rsidRPr="001F215C">
        <w:rPr>
          <w:rFonts w:cs="Arial"/>
          <w:szCs w:val="22"/>
        </w:rPr>
        <w:t>δ</w:t>
      </w:r>
      <w:r w:rsidRPr="001F215C">
        <w:rPr>
          <w:rFonts w:cs="Arial"/>
          <w:szCs w:val="22"/>
          <w:vertAlign w:val="superscript"/>
        </w:rPr>
        <w:t>13</w:t>
      </w:r>
      <w:r w:rsidRPr="001F215C">
        <w:rPr>
          <w:rFonts w:cs="Arial"/>
          <w:szCs w:val="22"/>
        </w:rPr>
        <w:t>C</w:t>
      </w:r>
      <w:proofErr w:type="spellEnd"/>
      <w:r w:rsidRPr="001F215C">
        <w:rPr>
          <w:rFonts w:cs="Arial"/>
          <w:szCs w:val="22"/>
        </w:rPr>
        <w:t>) cover.</w:t>
      </w:r>
      <w:r w:rsidRPr="001F215C">
        <w:rPr>
          <w:rFonts w:eastAsia="TimesNewRoman" w:cs="Arial"/>
          <w:szCs w:val="22"/>
        </w:rPr>
        <w:t xml:space="preserve"> Sampling included a </w:t>
      </w:r>
      <w:r w:rsidRPr="001F215C">
        <w:rPr>
          <w:rFonts w:cs="Arial"/>
          <w:szCs w:val="22"/>
        </w:rPr>
        <w:t>range of aquatic biogeochemical parameters</w:t>
      </w:r>
      <w:r w:rsidRPr="001F215C">
        <w:rPr>
          <w:rFonts w:eastAsia="TimesNewRoman" w:cs="Arial"/>
          <w:szCs w:val="22"/>
        </w:rPr>
        <w:t xml:space="preserve">, primary producers, </w:t>
      </w:r>
      <w:proofErr w:type="spellStart"/>
      <w:r w:rsidRPr="001F215C">
        <w:rPr>
          <w:rFonts w:eastAsia="TimesNewRoman" w:cs="Arial"/>
          <w:szCs w:val="22"/>
        </w:rPr>
        <w:t>macroinvertebrates</w:t>
      </w:r>
      <w:proofErr w:type="spellEnd"/>
      <w:r w:rsidRPr="001F215C">
        <w:rPr>
          <w:rFonts w:eastAsia="TimesNewRoman" w:cs="Arial"/>
          <w:szCs w:val="22"/>
        </w:rPr>
        <w:t xml:space="preserve"> and fish of different </w:t>
      </w:r>
      <w:proofErr w:type="spellStart"/>
      <w:r w:rsidRPr="001F215C">
        <w:rPr>
          <w:rFonts w:eastAsia="TimesNewRoman" w:cs="Arial"/>
          <w:szCs w:val="22"/>
        </w:rPr>
        <w:t>trophic</w:t>
      </w:r>
      <w:proofErr w:type="spellEnd"/>
      <w:r w:rsidRPr="001F215C">
        <w:rPr>
          <w:rFonts w:eastAsia="TimesNewRoman" w:cs="Arial"/>
          <w:szCs w:val="22"/>
        </w:rPr>
        <w:t xml:space="preserve"> ecologies (</w:t>
      </w:r>
      <w:proofErr w:type="spellStart"/>
      <w:r w:rsidRPr="001F215C">
        <w:rPr>
          <w:rFonts w:eastAsia="TimesNewRoman" w:cs="Arial"/>
          <w:szCs w:val="22"/>
        </w:rPr>
        <w:t>phytodetritivores</w:t>
      </w:r>
      <w:proofErr w:type="spellEnd"/>
      <w:r w:rsidRPr="001F215C">
        <w:rPr>
          <w:rFonts w:eastAsia="TimesNewRoman" w:cs="Arial"/>
          <w:szCs w:val="22"/>
        </w:rPr>
        <w:t xml:space="preserve">, herbivores, </w:t>
      </w:r>
      <w:proofErr w:type="spellStart"/>
      <w:r w:rsidRPr="001F215C">
        <w:rPr>
          <w:rFonts w:eastAsia="TimesNewRoman" w:cs="Arial"/>
          <w:szCs w:val="22"/>
        </w:rPr>
        <w:t>planktivores</w:t>
      </w:r>
      <w:proofErr w:type="spellEnd"/>
      <w:r w:rsidRPr="001F215C">
        <w:rPr>
          <w:rFonts w:eastAsia="TimesNewRoman" w:cs="Arial"/>
          <w:szCs w:val="22"/>
        </w:rPr>
        <w:t xml:space="preserve">, carnivores and </w:t>
      </w:r>
      <w:proofErr w:type="spellStart"/>
      <w:r w:rsidRPr="001F215C">
        <w:rPr>
          <w:rFonts w:eastAsia="TimesNewRoman" w:cs="Arial"/>
          <w:szCs w:val="22"/>
        </w:rPr>
        <w:t>piscivores</w:t>
      </w:r>
      <w:proofErr w:type="spellEnd"/>
      <w:r w:rsidRPr="001F215C">
        <w:rPr>
          <w:rFonts w:eastAsia="TimesNewRoman" w:cs="Arial"/>
          <w:szCs w:val="22"/>
        </w:rPr>
        <w:t xml:space="preserve">) and was done both before and after the 2010/2011 wet season. Samples were processed and their carbon and nitrogen stable isotope composition </w:t>
      </w:r>
      <w:proofErr w:type="spellStart"/>
      <w:r w:rsidRPr="001F215C">
        <w:rPr>
          <w:rFonts w:eastAsia="TimesNewRoman" w:cs="Arial"/>
          <w:szCs w:val="22"/>
        </w:rPr>
        <w:t>analysed</w:t>
      </w:r>
      <w:proofErr w:type="spellEnd"/>
      <w:r w:rsidRPr="001F215C">
        <w:rPr>
          <w:rFonts w:eastAsia="TimesNewRoman" w:cs="Arial"/>
          <w:szCs w:val="22"/>
        </w:rPr>
        <w:t xml:space="preserve"> with an isotope ratio mass spectrometer coupled with an element </w:t>
      </w:r>
      <w:proofErr w:type="spellStart"/>
      <w:r w:rsidRPr="001F215C">
        <w:rPr>
          <w:rFonts w:eastAsia="TimesNewRoman" w:cs="Arial"/>
          <w:szCs w:val="22"/>
        </w:rPr>
        <w:t>analyser</w:t>
      </w:r>
      <w:proofErr w:type="spellEnd"/>
      <w:r w:rsidRPr="001F215C">
        <w:rPr>
          <w:rFonts w:eastAsia="TimesNewRoman" w:cs="Arial"/>
          <w:szCs w:val="22"/>
        </w:rPr>
        <w:t xml:space="preserve"> at the laboratory at the KU Leuven. </w:t>
      </w:r>
    </w:p>
    <w:p w:rsidR="005635D7" w:rsidRPr="001F215C" w:rsidRDefault="005635D7" w:rsidP="003B5BD6">
      <w:pPr>
        <w:spacing w:line="240" w:lineRule="auto"/>
        <w:ind w:firstLine="720"/>
        <w:rPr>
          <w:rFonts w:cs="Arial"/>
          <w:szCs w:val="22"/>
        </w:rPr>
      </w:pPr>
      <w:r w:rsidRPr="001F215C">
        <w:rPr>
          <w:rFonts w:eastAsia="TimesNewRoman" w:cs="Arial"/>
          <w:szCs w:val="22"/>
        </w:rPr>
        <w:t xml:space="preserve">Based on stable isotope data, </w:t>
      </w:r>
      <w:r w:rsidRPr="001F215C">
        <w:rPr>
          <w:rFonts w:cs="Arial"/>
          <w:szCs w:val="22"/>
        </w:rPr>
        <w:t xml:space="preserve">Bayesian mixing models were </w:t>
      </w:r>
      <w:r w:rsidRPr="001F215C">
        <w:rPr>
          <w:rFonts w:eastAsia="AdvTimes" w:cs="Arial"/>
          <w:szCs w:val="22"/>
        </w:rPr>
        <w:t xml:space="preserve">run for each site and season, and </w:t>
      </w:r>
      <w:r w:rsidRPr="001F215C">
        <w:rPr>
          <w:rFonts w:cs="Arial"/>
          <w:szCs w:val="22"/>
        </w:rPr>
        <w:t xml:space="preserve">used to </w:t>
      </w:r>
      <w:r w:rsidRPr="001F215C">
        <w:rPr>
          <w:rFonts w:eastAsia="AdvTimes" w:cs="Arial"/>
          <w:szCs w:val="22"/>
        </w:rPr>
        <w:t xml:space="preserve">quantify the contribution of the main classes of producers to consumers. </w:t>
      </w:r>
      <w:r w:rsidRPr="001F215C">
        <w:rPr>
          <w:rFonts w:cs="Arial"/>
          <w:szCs w:val="22"/>
        </w:rPr>
        <w:t xml:space="preserve">Bayesian community-wide metrics were </w:t>
      </w:r>
      <w:r>
        <w:rPr>
          <w:rFonts w:cs="Arial"/>
          <w:szCs w:val="22"/>
        </w:rPr>
        <w:t xml:space="preserve">also </w:t>
      </w:r>
      <w:r w:rsidRPr="001F215C">
        <w:rPr>
          <w:rFonts w:cs="Arial"/>
          <w:szCs w:val="22"/>
        </w:rPr>
        <w:t xml:space="preserve">used to describe food web organization for each site and season. Metrics used were </w:t>
      </w:r>
      <w:proofErr w:type="spellStart"/>
      <w:r w:rsidRPr="001F215C">
        <w:rPr>
          <w:rFonts w:cs="Arial"/>
          <w:szCs w:val="22"/>
        </w:rPr>
        <w:t>δ</w:t>
      </w:r>
      <w:r w:rsidRPr="001F215C">
        <w:rPr>
          <w:rFonts w:cs="Arial"/>
          <w:szCs w:val="22"/>
          <w:vertAlign w:val="superscript"/>
        </w:rPr>
        <w:t>13</w:t>
      </w:r>
      <w:r w:rsidRPr="001F215C">
        <w:rPr>
          <w:rFonts w:cs="Arial"/>
          <w:szCs w:val="22"/>
        </w:rPr>
        <w:t>C</w:t>
      </w:r>
      <w:proofErr w:type="spellEnd"/>
      <w:r w:rsidRPr="001F215C">
        <w:rPr>
          <w:rFonts w:cs="Arial"/>
          <w:szCs w:val="22"/>
        </w:rPr>
        <w:t xml:space="preserve"> and </w:t>
      </w:r>
      <w:proofErr w:type="spellStart"/>
      <w:r w:rsidRPr="001F215C">
        <w:rPr>
          <w:rFonts w:cs="Arial"/>
          <w:szCs w:val="22"/>
        </w:rPr>
        <w:t>δ</w:t>
      </w:r>
      <w:r w:rsidRPr="001F215C">
        <w:rPr>
          <w:rFonts w:cs="Arial"/>
          <w:szCs w:val="22"/>
          <w:vertAlign w:val="superscript"/>
        </w:rPr>
        <w:t>15</w:t>
      </w:r>
      <w:r w:rsidRPr="001F215C">
        <w:rPr>
          <w:rFonts w:cs="Arial"/>
          <w:szCs w:val="22"/>
        </w:rPr>
        <w:t>N</w:t>
      </w:r>
      <w:proofErr w:type="spellEnd"/>
      <w:r w:rsidRPr="001F215C">
        <w:rPr>
          <w:rFonts w:cs="Arial"/>
          <w:szCs w:val="22"/>
        </w:rPr>
        <w:t xml:space="preserve"> range, mean distance to </w:t>
      </w:r>
      <w:proofErr w:type="spellStart"/>
      <w:r w:rsidRPr="001F215C">
        <w:rPr>
          <w:rFonts w:cs="Arial"/>
          <w:szCs w:val="22"/>
        </w:rPr>
        <w:t>centroid</w:t>
      </w:r>
      <w:proofErr w:type="spellEnd"/>
      <w:r w:rsidRPr="001F215C">
        <w:rPr>
          <w:rFonts w:cs="Arial"/>
          <w:szCs w:val="22"/>
        </w:rPr>
        <w:t xml:space="preserve">, mean nearest </w:t>
      </w:r>
      <w:proofErr w:type="spellStart"/>
      <w:r w:rsidRPr="001F215C">
        <w:rPr>
          <w:rFonts w:cs="Arial"/>
          <w:szCs w:val="22"/>
        </w:rPr>
        <w:t>neighbour</w:t>
      </w:r>
      <w:proofErr w:type="spellEnd"/>
      <w:r w:rsidRPr="001F215C">
        <w:rPr>
          <w:rFonts w:cs="Arial"/>
          <w:szCs w:val="22"/>
        </w:rPr>
        <w:t xml:space="preserve"> distance and standard deviation of nearest </w:t>
      </w:r>
      <w:proofErr w:type="spellStart"/>
      <w:r w:rsidRPr="001F215C">
        <w:rPr>
          <w:rFonts w:cs="Arial"/>
          <w:szCs w:val="22"/>
        </w:rPr>
        <w:t>neighbour</w:t>
      </w:r>
      <w:proofErr w:type="spellEnd"/>
      <w:r w:rsidRPr="001F215C">
        <w:rPr>
          <w:rFonts w:cs="Arial"/>
          <w:szCs w:val="22"/>
        </w:rPr>
        <w:t xml:space="preserve"> distance. The first three provide information on the </w:t>
      </w:r>
      <w:proofErr w:type="spellStart"/>
      <w:r w:rsidRPr="001F215C">
        <w:rPr>
          <w:rFonts w:cs="Arial"/>
          <w:szCs w:val="22"/>
        </w:rPr>
        <w:t>trophic</w:t>
      </w:r>
      <w:proofErr w:type="spellEnd"/>
      <w:r w:rsidRPr="001F215C">
        <w:rPr>
          <w:rFonts w:cs="Arial"/>
          <w:szCs w:val="22"/>
        </w:rPr>
        <w:t xml:space="preserve"> diversity within a food web, by giving a measure of the spacing of the different components in the </w:t>
      </w:r>
      <w:proofErr w:type="spellStart"/>
      <w:r w:rsidRPr="001F215C">
        <w:rPr>
          <w:rFonts w:cs="Arial"/>
          <w:szCs w:val="22"/>
        </w:rPr>
        <w:t>δ</w:t>
      </w:r>
      <w:r w:rsidRPr="001F215C">
        <w:rPr>
          <w:rFonts w:cs="Arial"/>
          <w:szCs w:val="22"/>
          <w:vertAlign w:val="superscript"/>
        </w:rPr>
        <w:t>13</w:t>
      </w:r>
      <w:r w:rsidRPr="001F215C">
        <w:rPr>
          <w:rFonts w:cs="Arial"/>
          <w:szCs w:val="22"/>
        </w:rPr>
        <w:t>C-δ</w:t>
      </w:r>
      <w:r w:rsidRPr="001F215C">
        <w:rPr>
          <w:rFonts w:cs="Arial"/>
          <w:szCs w:val="22"/>
          <w:vertAlign w:val="superscript"/>
        </w:rPr>
        <w:t>15</w:t>
      </w:r>
      <w:r w:rsidRPr="001F215C">
        <w:rPr>
          <w:rFonts w:cs="Arial"/>
          <w:szCs w:val="22"/>
        </w:rPr>
        <w:t>N</w:t>
      </w:r>
      <w:proofErr w:type="spellEnd"/>
      <w:r w:rsidRPr="001F215C">
        <w:rPr>
          <w:rFonts w:cs="Arial"/>
          <w:szCs w:val="22"/>
        </w:rPr>
        <w:t xml:space="preserve"> space, while the last two metrics are related to </w:t>
      </w:r>
      <w:proofErr w:type="spellStart"/>
      <w:r w:rsidRPr="001F215C">
        <w:rPr>
          <w:rFonts w:cs="Arial"/>
          <w:szCs w:val="22"/>
        </w:rPr>
        <w:t>trophic</w:t>
      </w:r>
      <w:proofErr w:type="spellEnd"/>
      <w:r w:rsidRPr="001F215C">
        <w:rPr>
          <w:rFonts w:cs="Arial"/>
          <w:szCs w:val="22"/>
        </w:rPr>
        <w:t xml:space="preserve"> redundancy. Isotopic niches of fish communities were also quantified for each site and season based on Bayesian standard ellipse areas</w:t>
      </w:r>
      <w:r w:rsidRPr="001F215C">
        <w:rPr>
          <w:rFonts w:eastAsia="AdvTimes" w:cs="Arial"/>
          <w:szCs w:val="22"/>
        </w:rPr>
        <w:t>.</w:t>
      </w:r>
      <w:r w:rsidRPr="001F215C">
        <w:rPr>
          <w:rFonts w:cs="Arial"/>
          <w:szCs w:val="22"/>
        </w:rPr>
        <w:t xml:space="preserve"> Here, only fish species were considered because the taxonomic and </w:t>
      </w:r>
      <w:proofErr w:type="spellStart"/>
      <w:r w:rsidRPr="001F215C">
        <w:rPr>
          <w:rFonts w:cs="Arial"/>
          <w:szCs w:val="22"/>
        </w:rPr>
        <w:t>trophic</w:t>
      </w:r>
      <w:proofErr w:type="spellEnd"/>
      <w:r w:rsidRPr="001F215C">
        <w:rPr>
          <w:rFonts w:cs="Arial"/>
          <w:szCs w:val="22"/>
        </w:rPr>
        <w:t xml:space="preserve"> composition of invertebrates collected varied greatly between systems, so results would not be comparable.</w:t>
      </w:r>
    </w:p>
    <w:p w:rsidR="005635D7" w:rsidRPr="001F215C" w:rsidRDefault="005635D7" w:rsidP="005635D7">
      <w:pPr>
        <w:autoSpaceDE w:val="0"/>
        <w:autoSpaceDN w:val="0"/>
        <w:adjustRightInd w:val="0"/>
        <w:spacing w:line="240" w:lineRule="auto"/>
        <w:rPr>
          <w:rFonts w:eastAsia="TimesNewRoman" w:cs="Arial"/>
          <w:b/>
          <w:szCs w:val="22"/>
        </w:rPr>
      </w:pPr>
    </w:p>
    <w:p w:rsidR="005635D7" w:rsidRPr="001F215C" w:rsidRDefault="005635D7" w:rsidP="005635D7">
      <w:pPr>
        <w:autoSpaceDE w:val="0"/>
        <w:autoSpaceDN w:val="0"/>
        <w:adjustRightInd w:val="0"/>
        <w:spacing w:line="240" w:lineRule="auto"/>
        <w:rPr>
          <w:rFonts w:eastAsia="TimesNewRoman" w:cs="Arial"/>
          <w:b/>
          <w:szCs w:val="22"/>
        </w:rPr>
      </w:pPr>
      <w:r w:rsidRPr="001F215C">
        <w:rPr>
          <w:rFonts w:eastAsia="TimesNewRoman" w:cs="Arial"/>
          <w:b/>
          <w:szCs w:val="22"/>
        </w:rPr>
        <w:t>Results and Conclusions</w:t>
      </w:r>
    </w:p>
    <w:p w:rsidR="005635D7" w:rsidRPr="001F215C" w:rsidRDefault="005635D7" w:rsidP="005635D7">
      <w:pPr>
        <w:autoSpaceDE w:val="0"/>
        <w:autoSpaceDN w:val="0"/>
        <w:adjustRightInd w:val="0"/>
        <w:spacing w:after="0" w:line="240" w:lineRule="auto"/>
        <w:rPr>
          <w:rFonts w:eastAsia="TimesNewRoman" w:cs="Arial"/>
          <w:b/>
          <w:i/>
          <w:szCs w:val="22"/>
        </w:rPr>
      </w:pPr>
      <w:r w:rsidRPr="001F215C">
        <w:rPr>
          <w:rFonts w:eastAsia="TimesNewRoman" w:cs="Arial"/>
          <w:b/>
          <w:i/>
          <w:szCs w:val="22"/>
        </w:rPr>
        <w:t>Importance of terrestrial subsidies for aquatic food webs</w:t>
      </w:r>
    </w:p>
    <w:p w:rsidR="005635D7" w:rsidRPr="001F215C" w:rsidRDefault="005635D7" w:rsidP="005635D7">
      <w:pPr>
        <w:spacing w:line="240" w:lineRule="auto"/>
        <w:rPr>
          <w:rFonts w:cs="Arial"/>
          <w:szCs w:val="22"/>
        </w:rPr>
      </w:pPr>
      <w:r w:rsidRPr="001F215C">
        <w:rPr>
          <w:rFonts w:cs="Arial"/>
          <w:szCs w:val="22"/>
        </w:rPr>
        <w:t>For estuarine sites, stable isotope results agreed well with the type (C3 vs. C4) and dominance of terrestrial vegetation and impacts (</w:t>
      </w:r>
      <w:proofErr w:type="spellStart"/>
      <w:r w:rsidRPr="001F215C">
        <w:rPr>
          <w:rFonts w:cs="Arial"/>
          <w:szCs w:val="22"/>
        </w:rPr>
        <w:t>urbanisation</w:t>
      </w:r>
      <w:proofErr w:type="spellEnd"/>
      <w:r w:rsidRPr="001F215C">
        <w:rPr>
          <w:rFonts w:cs="Arial"/>
          <w:szCs w:val="22"/>
        </w:rPr>
        <w:t>, farmland) in the rivers’ catchments.</w:t>
      </w:r>
      <w:r w:rsidRPr="001F215C">
        <w:rPr>
          <w:rFonts w:eastAsia="Times-Roman" w:cs="Arial"/>
          <w:szCs w:val="22"/>
        </w:rPr>
        <w:t xml:space="preserve"> Bayesian mixing models indicated that</w:t>
      </w:r>
      <w:r w:rsidRPr="001F215C">
        <w:rPr>
          <w:rFonts w:cs="Arial"/>
          <w:szCs w:val="22"/>
        </w:rPr>
        <w:t xml:space="preserve"> the importance of C3, C4 and aquatic primary producers differed between systems and seasons, and </w:t>
      </w:r>
      <w:r w:rsidRPr="001F215C">
        <w:rPr>
          <w:rFonts w:eastAsia="Times-Roman" w:cs="Arial"/>
          <w:szCs w:val="22"/>
        </w:rPr>
        <w:t>confirmed</w:t>
      </w:r>
      <w:r w:rsidRPr="001F215C">
        <w:rPr>
          <w:rFonts w:cs="Arial"/>
          <w:szCs w:val="22"/>
        </w:rPr>
        <w:t xml:space="preserve"> that terrestrial subsidies are important for aquatic food webs.</w:t>
      </w:r>
      <w:r w:rsidRPr="001F215C">
        <w:rPr>
          <w:rFonts w:eastAsia="Times-Roman" w:cs="Arial"/>
          <w:szCs w:val="22"/>
        </w:rPr>
        <w:t xml:space="preserve"> </w:t>
      </w:r>
      <w:r w:rsidRPr="001F215C">
        <w:rPr>
          <w:rFonts w:cs="Arial"/>
          <w:szCs w:val="22"/>
        </w:rPr>
        <w:t xml:space="preserve">For example, at the highly turbid C4-dominated </w:t>
      </w:r>
      <w:proofErr w:type="spellStart"/>
      <w:r w:rsidRPr="001F215C">
        <w:rPr>
          <w:rFonts w:cs="Arial"/>
          <w:szCs w:val="22"/>
        </w:rPr>
        <w:t>Betsiboka</w:t>
      </w:r>
      <w:proofErr w:type="spellEnd"/>
      <w:r w:rsidRPr="001F215C">
        <w:rPr>
          <w:rFonts w:cs="Arial"/>
          <w:szCs w:val="22"/>
        </w:rPr>
        <w:t xml:space="preserve">, where C3 producers are scarce and waters very turbid, C4 material was the most important contributor to animal nutrition, contributing up to 61–84% (95% CI) to </w:t>
      </w:r>
      <w:proofErr w:type="spellStart"/>
      <w:r w:rsidRPr="001F215C">
        <w:rPr>
          <w:rFonts w:cs="Arial"/>
          <w:szCs w:val="22"/>
        </w:rPr>
        <w:t>phytodetritivorous</w:t>
      </w:r>
      <w:proofErr w:type="spellEnd"/>
      <w:r w:rsidRPr="001F215C">
        <w:rPr>
          <w:rFonts w:cs="Arial"/>
          <w:szCs w:val="22"/>
        </w:rPr>
        <w:t xml:space="preserve"> fish. At the other C4-dominated estuary, the </w:t>
      </w:r>
      <w:proofErr w:type="spellStart"/>
      <w:r w:rsidRPr="001F215C">
        <w:rPr>
          <w:rFonts w:cs="Arial"/>
          <w:szCs w:val="22"/>
        </w:rPr>
        <w:t>Tana</w:t>
      </w:r>
      <w:proofErr w:type="spellEnd"/>
      <w:r w:rsidRPr="001F215C">
        <w:rPr>
          <w:rFonts w:cs="Arial"/>
          <w:szCs w:val="22"/>
        </w:rPr>
        <w:t xml:space="preserve">, extensive areas of mangrove forest are present and waters are less turbid, so mixing models indicate that consumers rely on a combination of C4, C3 and </w:t>
      </w:r>
      <w:proofErr w:type="spellStart"/>
      <w:r w:rsidRPr="001F215C">
        <w:rPr>
          <w:rFonts w:cs="Arial"/>
          <w:szCs w:val="22"/>
        </w:rPr>
        <w:t>planktonic</w:t>
      </w:r>
      <w:proofErr w:type="spellEnd"/>
      <w:r w:rsidRPr="001F215C">
        <w:rPr>
          <w:rFonts w:cs="Arial"/>
          <w:szCs w:val="22"/>
        </w:rPr>
        <w:t xml:space="preserve"> sources. For the less turbid C3-dominated estuaries, </w:t>
      </w:r>
      <w:r w:rsidRPr="001F215C">
        <w:rPr>
          <w:rFonts w:eastAsia="Calibri" w:cs="Arial"/>
          <w:szCs w:val="22"/>
        </w:rPr>
        <w:t>terrestrial subsidies were not as important and</w:t>
      </w:r>
      <w:r w:rsidRPr="001F215C">
        <w:rPr>
          <w:rFonts w:cs="Arial"/>
          <w:szCs w:val="22"/>
        </w:rPr>
        <w:t xml:space="preserve"> consumers </w:t>
      </w:r>
      <w:r w:rsidRPr="001F215C">
        <w:rPr>
          <w:rFonts w:eastAsia="AdvTimes" w:cs="Arial"/>
          <w:szCs w:val="22"/>
        </w:rPr>
        <w:t xml:space="preserve">relied on a combination </w:t>
      </w:r>
      <w:r w:rsidRPr="001F215C">
        <w:rPr>
          <w:rFonts w:cs="Arial"/>
          <w:szCs w:val="22"/>
        </w:rPr>
        <w:t>of sources</w:t>
      </w:r>
      <w:r w:rsidRPr="001F215C">
        <w:rPr>
          <w:rFonts w:eastAsia="AdvTimes" w:cs="Arial"/>
          <w:szCs w:val="22"/>
        </w:rPr>
        <w:t xml:space="preserve">. </w:t>
      </w:r>
      <w:r w:rsidRPr="001F215C">
        <w:rPr>
          <w:rFonts w:cs="Arial"/>
          <w:szCs w:val="22"/>
        </w:rPr>
        <w:t xml:space="preserve">At the </w:t>
      </w:r>
      <w:r w:rsidRPr="001F215C">
        <w:rPr>
          <w:rFonts w:cs="Arial"/>
          <w:szCs w:val="22"/>
        </w:rPr>
        <w:lastRenderedPageBreak/>
        <w:t xml:space="preserve">Zambezi, where aquatic sources more limited, both C3 and C4 producers were important for all </w:t>
      </w:r>
      <w:proofErr w:type="spellStart"/>
      <w:r w:rsidRPr="001F215C">
        <w:rPr>
          <w:rFonts w:cs="Arial"/>
          <w:szCs w:val="22"/>
        </w:rPr>
        <w:t>trophic</w:t>
      </w:r>
      <w:proofErr w:type="spellEnd"/>
      <w:r w:rsidRPr="001F215C">
        <w:rPr>
          <w:rFonts w:cs="Arial"/>
          <w:szCs w:val="22"/>
        </w:rPr>
        <w:t xml:space="preserve"> guilds and plankton also had some importance. At the clear water </w:t>
      </w:r>
      <w:proofErr w:type="spellStart"/>
      <w:r w:rsidRPr="001F215C">
        <w:rPr>
          <w:rFonts w:cs="Arial"/>
          <w:szCs w:val="22"/>
        </w:rPr>
        <w:t>Rianila</w:t>
      </w:r>
      <w:proofErr w:type="spellEnd"/>
      <w:r w:rsidRPr="001F215C">
        <w:rPr>
          <w:rFonts w:cs="Arial"/>
          <w:szCs w:val="22"/>
        </w:rPr>
        <w:t xml:space="preserve"> and </w:t>
      </w:r>
      <w:proofErr w:type="spellStart"/>
      <w:r w:rsidRPr="001F215C">
        <w:rPr>
          <w:rFonts w:cs="Arial"/>
          <w:szCs w:val="22"/>
        </w:rPr>
        <w:t>Pangalanes</w:t>
      </w:r>
      <w:proofErr w:type="spellEnd"/>
      <w:r w:rsidRPr="001F215C">
        <w:rPr>
          <w:rFonts w:cs="Arial"/>
          <w:szCs w:val="22"/>
        </w:rPr>
        <w:t xml:space="preserve"> Canal, terrestrial sources had some importance, but this was much lower than at </w:t>
      </w:r>
      <w:r>
        <w:rPr>
          <w:rFonts w:cs="Arial"/>
          <w:szCs w:val="22"/>
        </w:rPr>
        <w:t xml:space="preserve">the </w:t>
      </w:r>
      <w:r w:rsidRPr="001F215C">
        <w:rPr>
          <w:rFonts w:cs="Arial"/>
          <w:szCs w:val="22"/>
        </w:rPr>
        <w:t>Zambezi o</w:t>
      </w:r>
      <w:r>
        <w:rPr>
          <w:rFonts w:cs="Arial"/>
          <w:szCs w:val="22"/>
        </w:rPr>
        <w:t>r the two C4-dominated estuaries.</w:t>
      </w:r>
      <w:r w:rsidRPr="001F215C">
        <w:rPr>
          <w:rFonts w:cs="Arial"/>
          <w:szCs w:val="22"/>
        </w:rPr>
        <w:t xml:space="preserve"> </w:t>
      </w:r>
      <w:r>
        <w:rPr>
          <w:rFonts w:cs="Arial"/>
          <w:szCs w:val="22"/>
        </w:rPr>
        <w:t>N</w:t>
      </w:r>
      <w:r w:rsidRPr="001F215C">
        <w:rPr>
          <w:rFonts w:cs="Arial"/>
          <w:szCs w:val="22"/>
        </w:rPr>
        <w:t xml:space="preserve">o single source dominated and consumers seemed to rely on both terrestrial and on a combination of aquatic sources. </w:t>
      </w:r>
    </w:p>
    <w:p w:rsidR="005635D7" w:rsidRPr="001F215C" w:rsidRDefault="005635D7" w:rsidP="005635D7">
      <w:pPr>
        <w:spacing w:line="240" w:lineRule="auto"/>
        <w:ind w:firstLine="720"/>
        <w:rPr>
          <w:rFonts w:cs="Arial"/>
          <w:szCs w:val="22"/>
        </w:rPr>
      </w:pPr>
      <w:r w:rsidRPr="001F215C">
        <w:rPr>
          <w:rFonts w:cs="Arial"/>
          <w:szCs w:val="22"/>
        </w:rPr>
        <w:t xml:space="preserve">Overall, this large-scale study demonstrates that terrestrial subsidies are important for aquatic food webs in east African estuaries, and that carbon of terrestrial origin is transferred through several </w:t>
      </w:r>
      <w:proofErr w:type="spellStart"/>
      <w:r w:rsidRPr="001F215C">
        <w:rPr>
          <w:rFonts w:cs="Arial"/>
          <w:szCs w:val="22"/>
        </w:rPr>
        <w:t>trophic</w:t>
      </w:r>
      <w:proofErr w:type="spellEnd"/>
      <w:r w:rsidRPr="001F215C">
        <w:rPr>
          <w:rFonts w:cs="Arial"/>
          <w:szCs w:val="22"/>
        </w:rPr>
        <w:t xml:space="preserve"> links, from invertebrates to higher </w:t>
      </w:r>
      <w:proofErr w:type="spellStart"/>
      <w:r w:rsidRPr="001F215C">
        <w:rPr>
          <w:rFonts w:cs="Arial"/>
          <w:szCs w:val="22"/>
        </w:rPr>
        <w:t>trophic</w:t>
      </w:r>
      <w:proofErr w:type="spellEnd"/>
      <w:r w:rsidRPr="001F215C">
        <w:rPr>
          <w:rFonts w:cs="Arial"/>
          <w:szCs w:val="22"/>
        </w:rPr>
        <w:t xml:space="preserve"> level fish, and its influence is not limited to low </w:t>
      </w:r>
      <w:proofErr w:type="spellStart"/>
      <w:r w:rsidRPr="001F215C">
        <w:rPr>
          <w:rFonts w:cs="Arial"/>
          <w:szCs w:val="22"/>
        </w:rPr>
        <w:t>trophic</w:t>
      </w:r>
      <w:proofErr w:type="spellEnd"/>
      <w:r w:rsidRPr="001F215C">
        <w:rPr>
          <w:rFonts w:cs="Arial"/>
          <w:szCs w:val="22"/>
        </w:rPr>
        <w:t xml:space="preserve"> level species such as </w:t>
      </w:r>
      <w:proofErr w:type="spellStart"/>
      <w:r w:rsidRPr="001F215C">
        <w:rPr>
          <w:rFonts w:cs="Arial"/>
          <w:szCs w:val="22"/>
        </w:rPr>
        <w:t>detritivores</w:t>
      </w:r>
      <w:proofErr w:type="spellEnd"/>
      <w:r w:rsidRPr="001F215C">
        <w:rPr>
          <w:rFonts w:cs="Arial"/>
          <w:szCs w:val="22"/>
        </w:rPr>
        <w:t>. The importance of terrestrial sources was also found to depend on factors such as turbidity and availability of aquatic sources:</w:t>
      </w:r>
      <w:r w:rsidRPr="001F215C">
        <w:rPr>
          <w:rFonts w:eastAsia="Calibri" w:cs="Arial"/>
          <w:szCs w:val="22"/>
        </w:rPr>
        <w:t xml:space="preserve"> while in clear systems, where aquatic producers are abundant, food webs rely on a combination of terrestrial and aquatic sources, in highly turbid systems there is a stronger dependence on imported organic matter.</w:t>
      </w:r>
      <w:r w:rsidRPr="001F215C">
        <w:rPr>
          <w:rFonts w:cs="Arial"/>
          <w:szCs w:val="22"/>
        </w:rPr>
        <w:t xml:space="preserve"> </w:t>
      </w:r>
      <w:r w:rsidR="003B5BD6">
        <w:rPr>
          <w:rFonts w:cs="Arial"/>
          <w:szCs w:val="22"/>
        </w:rPr>
        <w:t>Results also show that</w:t>
      </w:r>
      <w:r>
        <w:rPr>
          <w:rFonts w:cs="Arial"/>
          <w:szCs w:val="22"/>
        </w:rPr>
        <w:t xml:space="preserve"> t</w:t>
      </w:r>
      <w:r w:rsidRPr="001F215C">
        <w:rPr>
          <w:rFonts w:cs="Arial"/>
          <w:szCs w:val="22"/>
        </w:rPr>
        <w:t xml:space="preserve">he ecological health of the overall catchment directly affects the downstream estuaries at the most fundamental level, and activities that alter the turbidity and productivity of rivers and estuaries (e.g. </w:t>
      </w:r>
      <w:r w:rsidRPr="001F215C">
        <w:rPr>
          <w:rFonts w:eastAsia="Calibri" w:cs="Arial"/>
          <w:szCs w:val="22"/>
        </w:rPr>
        <w:t>river</w:t>
      </w:r>
      <w:r w:rsidRPr="001F215C">
        <w:rPr>
          <w:rFonts w:cs="Arial"/>
          <w:szCs w:val="22"/>
        </w:rPr>
        <w:t xml:space="preserve"> regulation, removal of riparian vegetation, deforestation and conversion of land to grazing land) affect food webs well beyond the area of impact</w:t>
      </w:r>
      <w:r w:rsidRPr="001F215C">
        <w:rPr>
          <w:rFonts w:eastAsia="Calibri" w:cs="Arial"/>
          <w:szCs w:val="22"/>
        </w:rPr>
        <w:t xml:space="preserve">. This implies that rivers, along with their catchments and </w:t>
      </w:r>
      <w:r w:rsidRPr="001F215C">
        <w:rPr>
          <w:rFonts w:cs="Arial"/>
          <w:szCs w:val="22"/>
        </w:rPr>
        <w:t>estuaries should be managed as open systems.</w:t>
      </w:r>
    </w:p>
    <w:p w:rsidR="005635D7" w:rsidRPr="001F215C" w:rsidRDefault="005635D7" w:rsidP="005635D7">
      <w:pPr>
        <w:autoSpaceDE w:val="0"/>
        <w:autoSpaceDN w:val="0"/>
        <w:adjustRightInd w:val="0"/>
        <w:spacing w:line="240" w:lineRule="auto"/>
        <w:ind w:firstLine="284"/>
        <w:rPr>
          <w:rFonts w:cs="Arial"/>
          <w:szCs w:val="22"/>
        </w:rPr>
      </w:pPr>
      <w:r w:rsidRPr="001F215C">
        <w:rPr>
          <w:rFonts w:cs="Arial"/>
          <w:szCs w:val="22"/>
        </w:rPr>
        <w:t xml:space="preserve">For freshwater sites, data analysis was not as straightforward as for estuarine sites due to temporal and spatial variation in aquatic producer stable isotope composition and to the frequent overlap in </w:t>
      </w:r>
      <w:proofErr w:type="spellStart"/>
      <w:r w:rsidRPr="001F215C">
        <w:rPr>
          <w:rFonts w:cs="Arial"/>
          <w:szCs w:val="22"/>
        </w:rPr>
        <w:t>δ</w:t>
      </w:r>
      <w:r w:rsidRPr="001F215C">
        <w:rPr>
          <w:rFonts w:cs="Arial"/>
          <w:szCs w:val="22"/>
          <w:vertAlign w:val="superscript"/>
        </w:rPr>
        <w:t>13</w:t>
      </w:r>
      <w:r w:rsidRPr="001F215C">
        <w:rPr>
          <w:rFonts w:cs="Arial"/>
          <w:szCs w:val="22"/>
        </w:rPr>
        <w:t>C</w:t>
      </w:r>
      <w:proofErr w:type="spellEnd"/>
      <w:r w:rsidRPr="001F215C">
        <w:rPr>
          <w:rFonts w:cs="Arial"/>
          <w:szCs w:val="22"/>
        </w:rPr>
        <w:t xml:space="preserve"> and/or </w:t>
      </w:r>
      <w:proofErr w:type="spellStart"/>
      <w:r w:rsidRPr="001F215C">
        <w:rPr>
          <w:rFonts w:cs="Arial"/>
          <w:szCs w:val="22"/>
        </w:rPr>
        <w:t>δ</w:t>
      </w:r>
      <w:r w:rsidRPr="001F215C">
        <w:rPr>
          <w:rFonts w:cs="Arial"/>
          <w:szCs w:val="22"/>
          <w:vertAlign w:val="superscript"/>
        </w:rPr>
        <w:t>15</w:t>
      </w:r>
      <w:r w:rsidRPr="001F215C">
        <w:rPr>
          <w:rFonts w:cs="Arial"/>
          <w:szCs w:val="22"/>
        </w:rPr>
        <w:t>N</w:t>
      </w:r>
      <w:proofErr w:type="spellEnd"/>
      <w:r w:rsidRPr="001F215C">
        <w:rPr>
          <w:rFonts w:cs="Arial"/>
          <w:szCs w:val="22"/>
        </w:rPr>
        <w:t xml:space="preserve"> between distinct sources. Data analysis for the freshwater reaches of the rivers is currently underway.</w:t>
      </w:r>
    </w:p>
    <w:p w:rsidR="005635D7" w:rsidRPr="001F215C" w:rsidRDefault="005635D7" w:rsidP="005635D7">
      <w:pPr>
        <w:autoSpaceDE w:val="0"/>
        <w:autoSpaceDN w:val="0"/>
        <w:adjustRightInd w:val="0"/>
        <w:spacing w:after="0" w:line="240" w:lineRule="auto"/>
        <w:rPr>
          <w:rFonts w:cs="Arial"/>
          <w:szCs w:val="22"/>
        </w:rPr>
      </w:pPr>
    </w:p>
    <w:p w:rsidR="005635D7" w:rsidRPr="001F215C" w:rsidRDefault="005635D7" w:rsidP="005635D7">
      <w:pPr>
        <w:autoSpaceDE w:val="0"/>
        <w:autoSpaceDN w:val="0"/>
        <w:adjustRightInd w:val="0"/>
        <w:spacing w:after="0" w:line="240" w:lineRule="auto"/>
        <w:rPr>
          <w:rFonts w:cs="Arial"/>
          <w:b/>
          <w:i/>
          <w:szCs w:val="22"/>
        </w:rPr>
      </w:pPr>
      <w:r w:rsidRPr="001F215C">
        <w:rPr>
          <w:rFonts w:cs="Arial"/>
          <w:b/>
          <w:i/>
          <w:szCs w:val="22"/>
        </w:rPr>
        <w:t>Patterns in food web structure</w:t>
      </w:r>
    </w:p>
    <w:p w:rsidR="005635D7" w:rsidRDefault="005635D7" w:rsidP="005635D7">
      <w:pPr>
        <w:autoSpaceDE w:val="0"/>
        <w:autoSpaceDN w:val="0"/>
        <w:adjustRightInd w:val="0"/>
        <w:spacing w:after="0" w:line="240" w:lineRule="auto"/>
        <w:rPr>
          <w:rFonts w:cs="Arial"/>
          <w:szCs w:val="22"/>
        </w:rPr>
      </w:pPr>
      <w:r w:rsidRPr="001F215C">
        <w:rPr>
          <w:rFonts w:cs="Arial"/>
          <w:szCs w:val="22"/>
        </w:rPr>
        <w:t>For the estuarine sites, t</w:t>
      </w:r>
      <w:r w:rsidRPr="001F215C">
        <w:rPr>
          <w:rFonts w:cs="Arial"/>
          <w:szCs w:val="22"/>
          <w:lang w:val="pt-PT"/>
        </w:rPr>
        <w:t>rophic length (estimated based on δ</w:t>
      </w:r>
      <w:r w:rsidRPr="001F215C">
        <w:rPr>
          <w:rFonts w:cs="Arial"/>
          <w:szCs w:val="22"/>
          <w:vertAlign w:val="superscript"/>
          <w:lang w:val="pt-PT"/>
        </w:rPr>
        <w:t>15</w:t>
      </w:r>
      <w:r w:rsidRPr="001F215C">
        <w:rPr>
          <w:rFonts w:cs="Arial"/>
          <w:szCs w:val="22"/>
          <w:lang w:val="pt-PT"/>
        </w:rPr>
        <w:t xml:space="preserve">N and using invertebrate primary consumers as a baseline) varied between </w:t>
      </w:r>
      <w:r w:rsidRPr="001F215C">
        <w:rPr>
          <w:rFonts w:cs="Arial"/>
          <w:szCs w:val="22"/>
        </w:rPr>
        <w:t>3.8 (</w:t>
      </w:r>
      <w:proofErr w:type="spellStart"/>
      <w:r w:rsidRPr="001F215C">
        <w:rPr>
          <w:rFonts w:cs="Arial"/>
          <w:szCs w:val="22"/>
        </w:rPr>
        <w:t>Betsiboka</w:t>
      </w:r>
      <w:proofErr w:type="spellEnd"/>
      <w:r w:rsidRPr="001F215C">
        <w:rPr>
          <w:rFonts w:cs="Arial"/>
          <w:szCs w:val="22"/>
        </w:rPr>
        <w:t xml:space="preserve">) and 4.7 levels (Zambezi) </w:t>
      </w:r>
      <w:r w:rsidRPr="001F215C">
        <w:rPr>
          <w:rFonts w:cs="Arial"/>
          <w:szCs w:val="22"/>
          <w:lang w:val="pt-PT"/>
        </w:rPr>
        <w:t>(</w:t>
      </w:r>
      <w:r w:rsidRPr="001F215C">
        <w:rPr>
          <w:rFonts w:cs="Arial"/>
          <w:szCs w:val="22"/>
        </w:rPr>
        <w:t xml:space="preserve">4.2 ± 0.3) and did not vary seasonally for any estuary. Food web structure </w:t>
      </w:r>
      <w:proofErr w:type="gramStart"/>
      <w:r w:rsidRPr="001F215C">
        <w:rPr>
          <w:rFonts w:cs="Arial"/>
          <w:szCs w:val="22"/>
        </w:rPr>
        <w:t>differed</w:t>
      </w:r>
      <w:proofErr w:type="gramEnd"/>
      <w:r w:rsidRPr="001F215C">
        <w:rPr>
          <w:rFonts w:cs="Arial"/>
          <w:szCs w:val="22"/>
        </w:rPr>
        <w:t xml:space="preserve"> the most at the semi-isolated </w:t>
      </w:r>
      <w:proofErr w:type="spellStart"/>
      <w:r w:rsidRPr="001F215C">
        <w:rPr>
          <w:rFonts w:cs="Arial"/>
          <w:szCs w:val="22"/>
        </w:rPr>
        <w:t>Pangalanes</w:t>
      </w:r>
      <w:proofErr w:type="spellEnd"/>
      <w:r w:rsidRPr="001F215C">
        <w:rPr>
          <w:rFonts w:cs="Arial"/>
          <w:szCs w:val="22"/>
        </w:rPr>
        <w:t xml:space="preserve"> Canal, where both </w:t>
      </w:r>
      <w:proofErr w:type="spellStart"/>
      <w:r w:rsidRPr="001F215C">
        <w:rPr>
          <w:rFonts w:cs="Arial"/>
          <w:szCs w:val="22"/>
        </w:rPr>
        <w:t>trophic</w:t>
      </w:r>
      <w:proofErr w:type="spellEnd"/>
      <w:r w:rsidRPr="001F215C">
        <w:rPr>
          <w:rFonts w:cs="Arial"/>
          <w:szCs w:val="22"/>
        </w:rPr>
        <w:t xml:space="preserve"> diversity and </w:t>
      </w:r>
      <w:proofErr w:type="spellStart"/>
      <w:r w:rsidRPr="001F215C">
        <w:rPr>
          <w:rFonts w:cs="Arial"/>
          <w:szCs w:val="22"/>
        </w:rPr>
        <w:t>trophic</w:t>
      </w:r>
      <w:proofErr w:type="spellEnd"/>
      <w:r w:rsidRPr="001F215C">
        <w:rPr>
          <w:rFonts w:cs="Arial"/>
          <w:szCs w:val="22"/>
        </w:rPr>
        <w:t xml:space="preserve"> redundancy were lower than at the other estuaries. Among the four open estuaries, the </w:t>
      </w:r>
      <w:proofErr w:type="spellStart"/>
      <w:r w:rsidRPr="001F215C">
        <w:rPr>
          <w:rFonts w:cs="Arial"/>
          <w:szCs w:val="22"/>
        </w:rPr>
        <w:t>Betsiboka</w:t>
      </w:r>
      <w:proofErr w:type="spellEnd"/>
      <w:r w:rsidRPr="001F215C">
        <w:rPr>
          <w:rFonts w:cs="Arial"/>
          <w:szCs w:val="22"/>
        </w:rPr>
        <w:t xml:space="preserve"> and </w:t>
      </w:r>
      <w:proofErr w:type="spellStart"/>
      <w:r w:rsidRPr="001F215C">
        <w:rPr>
          <w:rFonts w:cs="Arial"/>
          <w:szCs w:val="22"/>
        </w:rPr>
        <w:t>Tana</w:t>
      </w:r>
      <w:proofErr w:type="spellEnd"/>
      <w:r w:rsidRPr="001F215C">
        <w:rPr>
          <w:rFonts w:cs="Arial"/>
          <w:szCs w:val="22"/>
        </w:rPr>
        <w:t xml:space="preserve"> (C4-dominated) had more compact food webs, with lower </w:t>
      </w:r>
      <w:proofErr w:type="spellStart"/>
      <w:r w:rsidRPr="001F215C">
        <w:rPr>
          <w:rFonts w:cs="Arial"/>
          <w:szCs w:val="22"/>
        </w:rPr>
        <w:t>trophic</w:t>
      </w:r>
      <w:proofErr w:type="spellEnd"/>
      <w:r w:rsidRPr="001F215C">
        <w:rPr>
          <w:rFonts w:cs="Arial"/>
          <w:szCs w:val="22"/>
        </w:rPr>
        <w:t xml:space="preserve"> diversity than the Zambezi and </w:t>
      </w:r>
      <w:proofErr w:type="spellStart"/>
      <w:r w:rsidRPr="001F215C">
        <w:rPr>
          <w:rFonts w:cs="Arial"/>
          <w:szCs w:val="22"/>
        </w:rPr>
        <w:t>Rianila</w:t>
      </w:r>
      <w:proofErr w:type="spellEnd"/>
      <w:r w:rsidRPr="001F215C">
        <w:rPr>
          <w:rFonts w:cs="Arial"/>
          <w:szCs w:val="22"/>
        </w:rPr>
        <w:t xml:space="preserve"> (C3-dominated), probably due to the limited availability of aquatic sources that result from the high loads of suspended sediment at the first two estuaries. At the </w:t>
      </w:r>
      <w:proofErr w:type="spellStart"/>
      <w:r w:rsidRPr="001F215C">
        <w:rPr>
          <w:rFonts w:cs="Arial"/>
          <w:szCs w:val="22"/>
        </w:rPr>
        <w:t>Pangalanes</w:t>
      </w:r>
      <w:proofErr w:type="spellEnd"/>
      <w:r w:rsidRPr="001F215C">
        <w:rPr>
          <w:rFonts w:cs="Arial"/>
          <w:szCs w:val="22"/>
        </w:rPr>
        <w:t xml:space="preserve"> Canal and </w:t>
      </w:r>
      <w:proofErr w:type="spellStart"/>
      <w:r w:rsidRPr="001F215C">
        <w:rPr>
          <w:rFonts w:cs="Arial"/>
          <w:szCs w:val="22"/>
        </w:rPr>
        <w:t>Betsiboka</w:t>
      </w:r>
      <w:proofErr w:type="spellEnd"/>
      <w:r w:rsidRPr="001F215C">
        <w:rPr>
          <w:rFonts w:cs="Arial"/>
          <w:szCs w:val="22"/>
        </w:rPr>
        <w:t xml:space="preserve">, there was seasonality in </w:t>
      </w:r>
      <w:proofErr w:type="spellStart"/>
      <w:r w:rsidRPr="001F215C">
        <w:rPr>
          <w:rFonts w:cs="Arial"/>
          <w:szCs w:val="22"/>
        </w:rPr>
        <w:t>trophic</w:t>
      </w:r>
      <w:proofErr w:type="spellEnd"/>
      <w:r w:rsidRPr="001F215C">
        <w:rPr>
          <w:rFonts w:cs="Arial"/>
          <w:szCs w:val="22"/>
        </w:rPr>
        <w:t xml:space="preserve"> structure, reflected by an increase in </w:t>
      </w:r>
      <w:proofErr w:type="spellStart"/>
      <w:r w:rsidRPr="001F215C">
        <w:rPr>
          <w:rFonts w:cs="Arial"/>
          <w:szCs w:val="22"/>
        </w:rPr>
        <w:t>trophic</w:t>
      </w:r>
      <w:proofErr w:type="spellEnd"/>
      <w:r w:rsidRPr="001F215C">
        <w:rPr>
          <w:rFonts w:cs="Arial"/>
          <w:szCs w:val="22"/>
        </w:rPr>
        <w:t xml:space="preserve"> diversity and decrease in </w:t>
      </w:r>
      <w:proofErr w:type="spellStart"/>
      <w:r w:rsidRPr="001F215C">
        <w:rPr>
          <w:rFonts w:cs="Arial"/>
          <w:szCs w:val="22"/>
        </w:rPr>
        <w:t>trophic</w:t>
      </w:r>
      <w:proofErr w:type="spellEnd"/>
      <w:r w:rsidRPr="001F215C">
        <w:rPr>
          <w:rFonts w:cs="Arial"/>
          <w:szCs w:val="22"/>
        </w:rPr>
        <w:t xml:space="preserve"> redundancy from the pre- to the post-wet season. For the </w:t>
      </w:r>
      <w:proofErr w:type="spellStart"/>
      <w:r w:rsidRPr="001F215C">
        <w:rPr>
          <w:rFonts w:cs="Arial"/>
          <w:szCs w:val="22"/>
        </w:rPr>
        <w:t>Pangalanes</w:t>
      </w:r>
      <w:proofErr w:type="spellEnd"/>
      <w:r w:rsidRPr="001F215C">
        <w:rPr>
          <w:rFonts w:cs="Arial"/>
          <w:szCs w:val="22"/>
        </w:rPr>
        <w:t xml:space="preserve"> Canal, this probably resulted from the higher availability of both terrestrial and aquatic sources at the post-wet season, which allowed consumer diets to diversify. For the </w:t>
      </w:r>
      <w:proofErr w:type="spellStart"/>
      <w:r w:rsidRPr="001F215C">
        <w:rPr>
          <w:rFonts w:cs="Arial"/>
          <w:szCs w:val="22"/>
        </w:rPr>
        <w:t>Betsiboka</w:t>
      </w:r>
      <w:proofErr w:type="spellEnd"/>
      <w:r w:rsidRPr="001F215C">
        <w:rPr>
          <w:rFonts w:cs="Arial"/>
          <w:szCs w:val="22"/>
        </w:rPr>
        <w:t xml:space="preserve">, where waters are highly turbid and aquatic primary productivity low, seasonal changes probably resulted from the input of terrestrial organic material during the wet season. </w:t>
      </w:r>
    </w:p>
    <w:p w:rsidR="005635D7" w:rsidRPr="001F215C" w:rsidRDefault="005635D7" w:rsidP="005635D7">
      <w:pPr>
        <w:autoSpaceDE w:val="0"/>
        <w:autoSpaceDN w:val="0"/>
        <w:adjustRightInd w:val="0"/>
        <w:spacing w:after="0" w:line="240" w:lineRule="auto"/>
        <w:ind w:firstLine="720"/>
        <w:rPr>
          <w:rFonts w:cs="Arial"/>
          <w:szCs w:val="22"/>
        </w:rPr>
      </w:pPr>
      <w:r w:rsidRPr="001F215C">
        <w:rPr>
          <w:rFonts w:cs="Arial"/>
          <w:szCs w:val="22"/>
        </w:rPr>
        <w:t xml:space="preserve">Overall, the comparative analysis of </w:t>
      </w:r>
      <w:r w:rsidRPr="001F215C">
        <w:rPr>
          <w:rFonts w:eastAsia="AdvTimes" w:cs="Arial"/>
          <w:szCs w:val="22"/>
        </w:rPr>
        <w:t xml:space="preserve">community-wide metrics was useful to detect patterns in </w:t>
      </w:r>
      <w:proofErr w:type="spellStart"/>
      <w:r w:rsidRPr="001F215C">
        <w:rPr>
          <w:rFonts w:eastAsia="AdvTimes" w:cs="Arial"/>
          <w:szCs w:val="22"/>
        </w:rPr>
        <w:t>trophic</w:t>
      </w:r>
      <w:proofErr w:type="spellEnd"/>
      <w:r w:rsidRPr="001F215C">
        <w:rPr>
          <w:rFonts w:eastAsia="AdvTimes" w:cs="Arial"/>
          <w:szCs w:val="22"/>
        </w:rPr>
        <w:t xml:space="preserve"> structure and </w:t>
      </w:r>
      <w:r w:rsidRPr="001F215C">
        <w:rPr>
          <w:rFonts w:cs="Arial"/>
          <w:szCs w:val="22"/>
        </w:rPr>
        <w:t xml:space="preserve">identify differences/similarities in </w:t>
      </w:r>
      <w:proofErr w:type="spellStart"/>
      <w:r w:rsidRPr="001F215C">
        <w:rPr>
          <w:rFonts w:cs="Arial"/>
          <w:szCs w:val="22"/>
        </w:rPr>
        <w:t>trophic</w:t>
      </w:r>
      <w:proofErr w:type="spellEnd"/>
      <w:r w:rsidRPr="001F215C">
        <w:rPr>
          <w:rFonts w:cs="Arial"/>
          <w:szCs w:val="22"/>
        </w:rPr>
        <w:t xml:space="preserve"> </w:t>
      </w:r>
      <w:proofErr w:type="spellStart"/>
      <w:r w:rsidRPr="001F215C">
        <w:rPr>
          <w:rFonts w:cs="Arial"/>
          <w:szCs w:val="22"/>
        </w:rPr>
        <w:t>organisation</w:t>
      </w:r>
      <w:proofErr w:type="spellEnd"/>
      <w:r w:rsidRPr="001F215C">
        <w:rPr>
          <w:rFonts w:cs="Arial"/>
          <w:szCs w:val="22"/>
        </w:rPr>
        <w:t xml:space="preserve"> rel</w:t>
      </w:r>
      <w:r>
        <w:rPr>
          <w:rFonts w:cs="Arial"/>
          <w:szCs w:val="22"/>
        </w:rPr>
        <w:t>ated to local conditions. This was</w:t>
      </w:r>
      <w:r w:rsidRPr="001F215C">
        <w:rPr>
          <w:rFonts w:cs="Arial"/>
          <w:szCs w:val="22"/>
        </w:rPr>
        <w:t xml:space="preserve"> the first study to apply this approach to a comprehensive dataset of estuarine biota. Results will allow for future comparisons with similar datasets from a range of aquatic ecosystems, to identify large-scale patterns in these metrics and describe general patterns in food web </w:t>
      </w:r>
      <w:proofErr w:type="spellStart"/>
      <w:r w:rsidRPr="001F215C">
        <w:rPr>
          <w:rFonts w:cs="Arial"/>
          <w:szCs w:val="22"/>
        </w:rPr>
        <w:t>organisation</w:t>
      </w:r>
      <w:proofErr w:type="spellEnd"/>
      <w:r w:rsidRPr="001F215C">
        <w:rPr>
          <w:rFonts w:cs="Arial"/>
          <w:szCs w:val="22"/>
        </w:rPr>
        <w:t xml:space="preserve"> across different ecosystem types. This methodology can provides complementary information to mixing models and other approaches to the analysis of stable isotope data, and is likely to find new applications in the future (e.g. comparing food web organization before and after impacts, or monitoring of ecological recovery after rehabilitation).</w:t>
      </w:r>
    </w:p>
    <w:p w:rsidR="005635D7" w:rsidRPr="001F215C" w:rsidRDefault="005635D7" w:rsidP="005635D7">
      <w:pPr>
        <w:autoSpaceDE w:val="0"/>
        <w:autoSpaceDN w:val="0"/>
        <w:adjustRightInd w:val="0"/>
        <w:spacing w:after="0" w:line="240" w:lineRule="auto"/>
        <w:ind w:firstLine="720"/>
        <w:rPr>
          <w:rFonts w:cs="Arial"/>
          <w:szCs w:val="22"/>
        </w:rPr>
      </w:pPr>
    </w:p>
    <w:p w:rsidR="005635D7" w:rsidRPr="001F215C" w:rsidRDefault="005635D7" w:rsidP="005635D7">
      <w:pPr>
        <w:spacing w:after="0" w:line="240" w:lineRule="auto"/>
        <w:rPr>
          <w:rFonts w:cs="Arial"/>
          <w:szCs w:val="22"/>
        </w:rPr>
      </w:pPr>
      <w:r w:rsidRPr="001F215C">
        <w:rPr>
          <w:rFonts w:cs="Arial"/>
          <w:szCs w:val="22"/>
        </w:rPr>
        <w:t>Analysis of data for the freshwater reaches of the different Rivers is still underway.</w:t>
      </w:r>
    </w:p>
    <w:p w:rsidR="005635D7" w:rsidRDefault="005635D7" w:rsidP="005635D7"/>
    <w:sectPr w:rsidR="005635D7" w:rsidSect="00CE60B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dvTimes">
    <w:altName w:val="MS Mincho"/>
    <w:panose1 w:val="00000000000000000000"/>
    <w:charset w:val="80"/>
    <w:family w:val="auto"/>
    <w:notTrueType/>
    <w:pitch w:val="default"/>
    <w:sig w:usb0="00000003" w:usb1="08070000" w:usb2="00000010" w:usb3="00000000" w:csb0="0002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F91"/>
    <w:multiLevelType w:val="hybridMultilevel"/>
    <w:tmpl w:val="80BC49A8"/>
    <w:lvl w:ilvl="0" w:tplc="293A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BA4"/>
    <w:multiLevelType w:val="hybridMultilevel"/>
    <w:tmpl w:val="A41E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F3010"/>
    <w:multiLevelType w:val="hybridMultilevel"/>
    <w:tmpl w:val="D1D4724C"/>
    <w:lvl w:ilvl="0" w:tplc="DCF430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embedSystemFonts/>
  <w:proofState w:spelling="clean" w:grammar="clean"/>
  <w:stylePaneFormatFilter w:val="3F01"/>
  <w:defaultTabStop w:val="720"/>
  <w:drawingGridHorizontalSpacing w:val="110"/>
  <w:displayHorizontalDrawingGridEvery w:val="2"/>
  <w:characterSpacingControl w:val="doNotCompress"/>
  <w:compat/>
  <w:rsids>
    <w:rsidRoot w:val="00CE60B0"/>
    <w:rsid w:val="000303E7"/>
    <w:rsid w:val="00035A9F"/>
    <w:rsid w:val="00050E2E"/>
    <w:rsid w:val="000553E5"/>
    <w:rsid w:val="00064B1B"/>
    <w:rsid w:val="000940B7"/>
    <w:rsid w:val="000A2A99"/>
    <w:rsid w:val="000D3749"/>
    <w:rsid w:val="000D6E1E"/>
    <w:rsid w:val="0011172B"/>
    <w:rsid w:val="001361A9"/>
    <w:rsid w:val="00136E85"/>
    <w:rsid w:val="0014051E"/>
    <w:rsid w:val="001705CF"/>
    <w:rsid w:val="00197FAB"/>
    <w:rsid w:val="001A3F8E"/>
    <w:rsid w:val="001D7DC1"/>
    <w:rsid w:val="00224251"/>
    <w:rsid w:val="00226EF6"/>
    <w:rsid w:val="002A1A55"/>
    <w:rsid w:val="002D1126"/>
    <w:rsid w:val="003551FD"/>
    <w:rsid w:val="00361959"/>
    <w:rsid w:val="00370566"/>
    <w:rsid w:val="0038142F"/>
    <w:rsid w:val="00383F20"/>
    <w:rsid w:val="003A5402"/>
    <w:rsid w:val="003B5BD6"/>
    <w:rsid w:val="003E09DE"/>
    <w:rsid w:val="00452F0F"/>
    <w:rsid w:val="004542D2"/>
    <w:rsid w:val="00463B23"/>
    <w:rsid w:val="00494F9E"/>
    <w:rsid w:val="00497F8D"/>
    <w:rsid w:val="00513B5D"/>
    <w:rsid w:val="00527878"/>
    <w:rsid w:val="00532937"/>
    <w:rsid w:val="005635D7"/>
    <w:rsid w:val="00587F84"/>
    <w:rsid w:val="00593127"/>
    <w:rsid w:val="005F3117"/>
    <w:rsid w:val="005F621E"/>
    <w:rsid w:val="005F7601"/>
    <w:rsid w:val="00606EE6"/>
    <w:rsid w:val="00636057"/>
    <w:rsid w:val="00740934"/>
    <w:rsid w:val="0075567D"/>
    <w:rsid w:val="00764D53"/>
    <w:rsid w:val="007B0698"/>
    <w:rsid w:val="007E509D"/>
    <w:rsid w:val="008250F4"/>
    <w:rsid w:val="00841C2D"/>
    <w:rsid w:val="008809E1"/>
    <w:rsid w:val="0089561C"/>
    <w:rsid w:val="00920EE9"/>
    <w:rsid w:val="0094619B"/>
    <w:rsid w:val="00967ED0"/>
    <w:rsid w:val="009D3F87"/>
    <w:rsid w:val="009E442D"/>
    <w:rsid w:val="009E6DA3"/>
    <w:rsid w:val="00A15511"/>
    <w:rsid w:val="00A2109C"/>
    <w:rsid w:val="00A440F3"/>
    <w:rsid w:val="00A62381"/>
    <w:rsid w:val="00A75416"/>
    <w:rsid w:val="00A9008F"/>
    <w:rsid w:val="00AC60AC"/>
    <w:rsid w:val="00C976EA"/>
    <w:rsid w:val="00CA4AA8"/>
    <w:rsid w:val="00CE60B0"/>
    <w:rsid w:val="00D611FF"/>
    <w:rsid w:val="00DB46DF"/>
    <w:rsid w:val="00DC65E2"/>
    <w:rsid w:val="00DF61B3"/>
    <w:rsid w:val="00E1352F"/>
    <w:rsid w:val="00E22739"/>
    <w:rsid w:val="00E2330D"/>
    <w:rsid w:val="00E23A49"/>
    <w:rsid w:val="00EA2BDF"/>
    <w:rsid w:val="00EA7E74"/>
    <w:rsid w:val="00F677B2"/>
    <w:rsid w:val="00FA2383"/>
    <w:rsid w:val="00FA2957"/>
    <w:rsid w:val="00FA7284"/>
    <w:rsid w:val="00FB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61C"/>
    <w:pPr>
      <w:spacing w:after="120" w:line="36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B0"/>
    <w:pPr>
      <w:ind w:left="720"/>
      <w:contextualSpacing/>
    </w:pPr>
  </w:style>
  <w:style w:type="character" w:styleId="Emphasis">
    <w:name w:val="Emphasis"/>
    <w:basedOn w:val="DefaultParagraphFont"/>
    <w:uiPriority w:val="20"/>
    <w:qFormat/>
    <w:rsid w:val="00CE60B0"/>
    <w:rPr>
      <w:i/>
      <w:iCs/>
    </w:rPr>
  </w:style>
  <w:style w:type="character" w:customStyle="1" w:styleId="dijittitlepanetextnode">
    <w:name w:val="dijittitlepanetextnode"/>
    <w:basedOn w:val="DefaultParagraphFont"/>
    <w:rsid w:val="0094619B"/>
  </w:style>
  <w:style w:type="character" w:customStyle="1" w:styleId="xfgrouplabel">
    <w:name w:val="xfgrouplabel"/>
    <w:basedOn w:val="DefaultParagraphFont"/>
    <w:rsid w:val="0094619B"/>
  </w:style>
  <w:style w:type="character" w:customStyle="1" w:styleId="apple-converted-space">
    <w:name w:val="apple-converted-space"/>
    <w:basedOn w:val="DefaultParagraphFont"/>
    <w:rsid w:val="009461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C9CE686C-8D57-4468-8A6B-0F726CDA73F6}"/>
</file>

<file path=customXml/itemProps2.xml><?xml version="1.0" encoding="utf-8"?>
<ds:datastoreItem xmlns:ds="http://schemas.openxmlformats.org/officeDocument/2006/customXml" ds:itemID="{F67F900A-34DF-4236-A73D-92E45B068BDB}"/>
</file>

<file path=customXml/itemProps3.xml><?xml version="1.0" encoding="utf-8"?>
<ds:datastoreItem xmlns:ds="http://schemas.openxmlformats.org/officeDocument/2006/customXml" ds:itemID="{ADDF43CC-785F-492D-B6A0-56BAB5A6DC10}"/>
</file>

<file path=docProps/app.xml><?xml version="1.0" encoding="utf-8"?>
<Properties xmlns="http://schemas.openxmlformats.org/officeDocument/2006/extended-properties" xmlns:vt="http://schemas.openxmlformats.org/officeDocument/2006/docPropsVTypes">
  <Template>Normal.dotm</Template>
  <TotalTime>27</TotalTime>
  <Pages>2</Pages>
  <Words>1168</Words>
  <Characters>6663</Characters>
  <Application>Microsoft Office Word</Application>
  <DocSecurity>0</DocSecurity>
  <Lines>55</Lines>
  <Paragraphs>15</Paragraphs>
  <ScaleCrop>false</ScaleCrop>
  <Company>Toshiba</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KA</cp:lastModifiedBy>
  <cp:revision>9</cp:revision>
  <dcterms:created xsi:type="dcterms:W3CDTF">2012-11-11T09:41:00Z</dcterms:created>
  <dcterms:modified xsi:type="dcterms:W3CDTF">2012-11-13T05:19:00Z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