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65" w:rsidRDefault="000B7765" w:rsidP="00CD79B6">
      <w:pPr>
        <w:spacing w:after="0"/>
        <w:contextualSpacing/>
        <w:rPr>
          <w:rFonts w:ascii="Times New Roman" w:hAnsi="Times New Roman"/>
        </w:rPr>
      </w:pPr>
      <w:bookmarkStart w:id="0" w:name="_GoBack"/>
      <w:bookmarkEnd w:id="0"/>
      <w:r>
        <w:rPr>
          <w:rFonts w:ascii="Times New Roman" w:hAnsi="Times New Roman"/>
        </w:rPr>
        <w:t>1</w:t>
      </w:r>
      <w:r w:rsidR="005B2520">
        <w:rPr>
          <w:rFonts w:ascii="Times New Roman" w:hAnsi="Times New Roman"/>
        </w:rPr>
        <w:t>.</w:t>
      </w:r>
      <w:r>
        <w:rPr>
          <w:rFonts w:ascii="Times New Roman" w:hAnsi="Times New Roman"/>
        </w:rPr>
        <w:t xml:space="preserve">  PUBLISHABLE SUMMARY OF THE PROJECT</w:t>
      </w:r>
      <w:r w:rsidR="005B2520">
        <w:rPr>
          <w:rFonts w:ascii="Times New Roman" w:hAnsi="Times New Roman"/>
        </w:rPr>
        <w:t xml:space="preserve"> (Project Acronym: ConfLit Grant Agreement Number:  253098)</w:t>
      </w:r>
    </w:p>
    <w:p w:rsidR="000B7765" w:rsidRDefault="000B7765" w:rsidP="00CD79B6">
      <w:pPr>
        <w:spacing w:after="0"/>
        <w:contextualSpacing/>
        <w:rPr>
          <w:rFonts w:ascii="Times New Roman" w:hAnsi="Times New Roman"/>
        </w:rPr>
      </w:pPr>
    </w:p>
    <w:p w:rsidR="000B7765" w:rsidRDefault="000B7765" w:rsidP="005B2520">
      <w:pPr>
        <w:spacing w:after="0"/>
        <w:ind w:firstLine="708"/>
        <w:contextualSpacing/>
        <w:rPr>
          <w:rFonts w:ascii="Times New Roman" w:hAnsi="Times New Roman"/>
        </w:rPr>
      </w:pPr>
      <w:r w:rsidRPr="002326E8">
        <w:rPr>
          <w:rFonts w:ascii="Times New Roman" w:hAnsi="Times New Roman"/>
        </w:rPr>
        <w:t>This project is a multidisciplinary study of the music and religious practices (rituals/liturgies) of lay communities in the Southern Low Countries in the late Middle Ages and early Renaissance.  Such communities, which include trade guilds, devotional confraternities (brotherhoods), and selected chivalric orders, formed a central part of daily medieval life, especially for trades people and merchants. There are three main objectives for this project:  to identify previously unknown or unstudied liturgical books containing music for the Mass and Office (prayer services) that were demonstrably used by confraternities in geographical areas that have received almost no scholarly attention – particularly Wallonia and Northern France; to analyze the music and texts found in these new sources, and compare them with the contents of chant books from Flanders and the Netherlands that have already been studied, in order to uncover information about widespread and local religious practices; to view the results of this comparative analysis in conjunction with information derived from archival documents (accounts, membership rosters, notarial documents), and genres of popular literature written in the vernacular that are known to have circulated widely in both manuscript and print.  The combination of th</w:t>
      </w:r>
      <w:r>
        <w:rPr>
          <w:rFonts w:ascii="Times New Roman" w:hAnsi="Times New Roman"/>
        </w:rPr>
        <w:t xml:space="preserve">ese approaches </w:t>
      </w:r>
      <w:r w:rsidRPr="002326E8">
        <w:rPr>
          <w:rFonts w:ascii="Times New Roman" w:hAnsi="Times New Roman"/>
        </w:rPr>
        <w:t>provide new knowledge about the social and economic circumstances in whic</w:t>
      </w:r>
      <w:r>
        <w:rPr>
          <w:rFonts w:ascii="Times New Roman" w:hAnsi="Times New Roman"/>
        </w:rPr>
        <w:t xml:space="preserve">h confraternity liturgies were </w:t>
      </w:r>
      <w:r w:rsidRPr="002326E8">
        <w:rPr>
          <w:rFonts w:ascii="Times New Roman" w:hAnsi="Times New Roman"/>
        </w:rPr>
        <w:t>produced, and the role of the laity in the construction of their own devotions.</w:t>
      </w:r>
    </w:p>
    <w:p w:rsidR="005B2520" w:rsidRDefault="000B7765" w:rsidP="005B2520">
      <w:pPr>
        <w:spacing w:after="0"/>
        <w:contextualSpacing/>
        <w:rPr>
          <w:rFonts w:ascii="Times New Roman" w:hAnsi="Times New Roman"/>
        </w:rPr>
      </w:pPr>
      <w:r>
        <w:rPr>
          <w:rFonts w:ascii="Times New Roman" w:hAnsi="Times New Roman"/>
        </w:rPr>
        <w:tab/>
        <w:t>Since the beginning of the p</w:t>
      </w:r>
      <w:r w:rsidR="005B2520">
        <w:rPr>
          <w:rFonts w:ascii="Times New Roman" w:hAnsi="Times New Roman"/>
        </w:rPr>
        <w:t>roject, I have spent time</w:t>
      </w:r>
      <w:r>
        <w:rPr>
          <w:rFonts w:ascii="Times New Roman" w:hAnsi="Times New Roman"/>
        </w:rPr>
        <w:t xml:space="preserve"> in </w:t>
      </w:r>
      <w:r w:rsidR="005B2520">
        <w:rPr>
          <w:rFonts w:ascii="Times New Roman" w:hAnsi="Times New Roman"/>
        </w:rPr>
        <w:t xml:space="preserve">the following </w:t>
      </w:r>
      <w:r>
        <w:rPr>
          <w:rFonts w:ascii="Times New Roman" w:hAnsi="Times New Roman"/>
        </w:rPr>
        <w:t>Belgian, Dutch, and French archives</w:t>
      </w:r>
      <w:r w:rsidR="005B2520">
        <w:rPr>
          <w:rFonts w:ascii="Times New Roman" w:hAnsi="Times New Roman"/>
        </w:rPr>
        <w:t>:</w:t>
      </w:r>
      <w:r w:rsidR="005B2520" w:rsidRPr="005B2520">
        <w:rPr>
          <w:rFonts w:ascii="Times New Roman" w:hAnsi="Times New Roman"/>
        </w:rPr>
        <w:t xml:space="preserve"> </w:t>
      </w:r>
      <w:r w:rsidR="005B2520">
        <w:rPr>
          <w:rFonts w:ascii="Times New Roman" w:hAnsi="Times New Roman"/>
        </w:rPr>
        <w:t>Brussels (Bibliothèque royale, Archives de la Ville), Lille (Archives du Nord, Bibliothèque municipale, Archives de la ville), Tournai (Bibliothèque du Grande Seminaire, Bibliothèque et Archives de la Cathedrale de Tournai), Namur (Musée diocesain), Cambrai (Bibliothèque municipale), Liège (Archives de l'Etat, Bibliothèque du Grande Seminaire, Eglise St. Paul), Bruges (Beguinage de Wijngaarde), Ghent (Rijksarchief); Den Haag (Koninklijke Bibliotheek);  Den Bosch (Archief Sint-Janskerk); Paris (Archives nationales, Bibliothèque nationale, Bibliothèque Mazarine), London (British Library).</w:t>
      </w:r>
    </w:p>
    <w:p w:rsidR="005B2520" w:rsidRDefault="00582E44" w:rsidP="000B7765">
      <w:pPr>
        <w:spacing w:after="0"/>
        <w:contextualSpacing/>
        <w:rPr>
          <w:rFonts w:ascii="Times New Roman" w:hAnsi="Times New Roman"/>
        </w:rPr>
      </w:pPr>
      <w:r>
        <w:rPr>
          <w:rFonts w:ascii="Times New Roman" w:hAnsi="Times New Roman"/>
        </w:rPr>
        <w:tab/>
        <w:t>In the course of the past two years, I have published 9 articles (including publications in conference proceedings, and two invited contributions for international interdisciplinary projects), been invited to give 4 guest lectures at universities in Belgium and the United States, and have delivered 5 conference papers.  The titles of these publications are provided in the attached document entitled “Publications and Presentations.”</w:t>
      </w:r>
    </w:p>
    <w:p w:rsidR="004147CB" w:rsidRDefault="00582E44" w:rsidP="00582E44">
      <w:pPr>
        <w:spacing w:after="0"/>
        <w:contextualSpacing/>
        <w:rPr>
          <w:rFonts w:ascii="Times New Roman" w:hAnsi="Times New Roman"/>
        </w:rPr>
      </w:pPr>
      <w:r>
        <w:rPr>
          <w:rFonts w:ascii="Times New Roman" w:hAnsi="Times New Roman"/>
        </w:rPr>
        <w:tab/>
      </w:r>
      <w:r w:rsidRPr="006810CC">
        <w:rPr>
          <w:rFonts w:ascii="Times New Roman" w:hAnsi="Times New Roman"/>
        </w:rPr>
        <w:t>The i</w:t>
      </w:r>
      <w:r>
        <w:rPr>
          <w:rFonts w:ascii="Times New Roman" w:hAnsi="Times New Roman"/>
        </w:rPr>
        <w:t>dentification of sources and archival documents was</w:t>
      </w:r>
      <w:r w:rsidRPr="006810CC">
        <w:rPr>
          <w:rFonts w:ascii="Times New Roman" w:hAnsi="Times New Roman"/>
        </w:rPr>
        <w:t xml:space="preserve"> achieved through the aid of published library catalogues and online databases, as well as on-site surveys in the institutions visited. Many of the archives in Wallonia are </w:t>
      </w:r>
      <w:r>
        <w:rPr>
          <w:rFonts w:ascii="Times New Roman" w:hAnsi="Times New Roman"/>
        </w:rPr>
        <w:t>uncatalogued, and I had to</w:t>
      </w:r>
      <w:r w:rsidRPr="006810CC">
        <w:rPr>
          <w:rFonts w:ascii="Times New Roman" w:hAnsi="Times New Roman"/>
        </w:rPr>
        <w:t xml:space="preserve"> personally contact the curators of those collections.  The archives that contain</w:t>
      </w:r>
      <w:r>
        <w:rPr>
          <w:rFonts w:ascii="Times New Roman" w:hAnsi="Times New Roman"/>
        </w:rPr>
        <w:t>ed</w:t>
      </w:r>
      <w:r w:rsidRPr="006810CC">
        <w:rPr>
          <w:rFonts w:ascii="Times New Roman" w:hAnsi="Times New Roman"/>
        </w:rPr>
        <w:t xml:space="preserve"> </w:t>
      </w:r>
      <w:r>
        <w:rPr>
          <w:rFonts w:ascii="Times New Roman" w:hAnsi="Times New Roman"/>
        </w:rPr>
        <w:t>the most significant musical collections</w:t>
      </w:r>
      <w:r w:rsidRPr="006810CC">
        <w:rPr>
          <w:rFonts w:ascii="Times New Roman" w:hAnsi="Times New Roman"/>
        </w:rPr>
        <w:t xml:space="preserve"> for this study are the</w:t>
      </w:r>
      <w:r>
        <w:rPr>
          <w:rFonts w:ascii="Times New Roman" w:hAnsi="Times New Roman"/>
        </w:rPr>
        <w:t xml:space="preserve"> </w:t>
      </w:r>
      <w:r w:rsidRPr="006810CC">
        <w:rPr>
          <w:rFonts w:ascii="Times New Roman" w:hAnsi="Times New Roman"/>
        </w:rPr>
        <w:t>Archives</w:t>
      </w:r>
      <w:r>
        <w:rPr>
          <w:rFonts w:ascii="Times New Roman" w:hAnsi="Times New Roman"/>
        </w:rPr>
        <w:t xml:space="preserve"> de la Cathèdrale de Tournai (4</w:t>
      </w:r>
      <w:r w:rsidRPr="006810CC">
        <w:rPr>
          <w:rFonts w:ascii="Times New Roman" w:hAnsi="Times New Roman"/>
        </w:rPr>
        <w:t xml:space="preserve"> sources</w:t>
      </w:r>
      <w:r>
        <w:rPr>
          <w:rFonts w:ascii="Times New Roman" w:hAnsi="Times New Roman"/>
        </w:rPr>
        <w:t xml:space="preserve"> for confraternities);</w:t>
      </w:r>
      <w:r w:rsidRPr="006810CC">
        <w:rPr>
          <w:rFonts w:ascii="Times New Roman" w:hAnsi="Times New Roman"/>
        </w:rPr>
        <w:t xml:space="preserve"> </w:t>
      </w:r>
      <w:r>
        <w:rPr>
          <w:rFonts w:ascii="Times New Roman" w:hAnsi="Times New Roman"/>
        </w:rPr>
        <w:t>the Bibliothèque nationale de France and the Bibliothèque Mazarine in Paris (14 sources); and the church archives of Den Bosch (4 sources).  In addition to these institutions, there were many others, which I have listed above, that had holdings of interest to the present study.</w:t>
      </w:r>
    </w:p>
    <w:p w:rsidR="004147CB" w:rsidRPr="002326E8" w:rsidRDefault="004147CB" w:rsidP="004147CB">
      <w:pPr>
        <w:spacing w:after="0"/>
        <w:ind w:firstLine="708"/>
        <w:contextualSpacing/>
        <w:rPr>
          <w:rFonts w:ascii="Times New Roman" w:hAnsi="Times New Roman"/>
        </w:rPr>
      </w:pPr>
      <w:r>
        <w:rPr>
          <w:rFonts w:ascii="Times New Roman" w:hAnsi="Times New Roman"/>
        </w:rPr>
        <w:t>The project carried out over the past two years has been innovative and will have lasting impact in several ways. First, this project is</w:t>
      </w:r>
      <w:r w:rsidRPr="002326E8">
        <w:rPr>
          <w:rFonts w:ascii="Times New Roman" w:hAnsi="Times New Roman"/>
        </w:rPr>
        <w:t xml:space="preserve"> the first study to emphasize the chant and liturgy of confraternities in the Southern Low Countries that have so far received no attention, particularly in Wallonia </w:t>
      </w:r>
      <w:r>
        <w:rPr>
          <w:rFonts w:ascii="Times New Roman" w:hAnsi="Times New Roman"/>
        </w:rPr>
        <w:t>and Northern France, and it</w:t>
      </w:r>
      <w:r w:rsidRPr="002326E8">
        <w:rPr>
          <w:rFonts w:ascii="Times New Roman" w:hAnsi="Times New Roman"/>
        </w:rPr>
        <w:t xml:space="preserve"> provide</w:t>
      </w:r>
      <w:r>
        <w:rPr>
          <w:rFonts w:ascii="Times New Roman" w:hAnsi="Times New Roman"/>
        </w:rPr>
        <w:t>s</w:t>
      </w:r>
      <w:r w:rsidRPr="002326E8">
        <w:rPr>
          <w:rFonts w:ascii="Times New Roman" w:hAnsi="Times New Roman"/>
        </w:rPr>
        <w:t xml:space="preserve"> a comprehensive analysis of liturgical books used by such organizations.  Chant is </w:t>
      </w:r>
      <w:r w:rsidRPr="002326E8">
        <w:rPr>
          <w:rFonts w:ascii="Times New Roman" w:hAnsi="Times New Roman"/>
        </w:rPr>
        <w:lastRenderedPageBreak/>
        <w:t>largely ignored in the historiography of fifteenth- and sixteenth-century music, as it is often overshadowed by polyphony (multi-voiced musical compositions).  Yet, chant was the most fundamental musical material of the time:  it was the music that musicians encountered first in their training; it was the basis for the church liturgy; and it was used as the foundation for sacred polyphonic compositions. Thus</w:t>
      </w:r>
      <w:r>
        <w:rPr>
          <w:rFonts w:ascii="Times New Roman" w:hAnsi="Times New Roman"/>
        </w:rPr>
        <w:t>,</w:t>
      </w:r>
      <w:r w:rsidRPr="002326E8">
        <w:rPr>
          <w:rFonts w:ascii="Times New Roman" w:hAnsi="Times New Roman"/>
        </w:rPr>
        <w:t xml:space="preserve"> research on late-medieval chant, as proposed here, has the potential to point future scholarship on the broader (and better known) repertory of medieval and Renaissance music in new directions.</w:t>
      </w:r>
    </w:p>
    <w:p w:rsidR="004147CB" w:rsidRPr="002326E8" w:rsidRDefault="004147CB" w:rsidP="004147CB">
      <w:pPr>
        <w:spacing w:after="0"/>
        <w:ind w:firstLine="708"/>
        <w:contextualSpacing/>
        <w:rPr>
          <w:rFonts w:ascii="Times New Roman" w:hAnsi="Times New Roman"/>
        </w:rPr>
      </w:pPr>
      <w:r>
        <w:rPr>
          <w:rFonts w:ascii="Times New Roman" w:hAnsi="Times New Roman"/>
        </w:rPr>
        <w:t xml:space="preserve">Second, </w:t>
      </w:r>
      <w:r w:rsidRPr="002326E8">
        <w:rPr>
          <w:rFonts w:ascii="Times New Roman" w:hAnsi="Times New Roman"/>
        </w:rPr>
        <w:t>the study of late medieval chant is a relatively new subject for musicologists, emerging only since the late 198</w:t>
      </w:r>
      <w:r>
        <w:rPr>
          <w:rFonts w:ascii="Times New Roman" w:hAnsi="Times New Roman"/>
        </w:rPr>
        <w:t>0’s</w:t>
      </w:r>
      <w:r w:rsidRPr="002326E8">
        <w:rPr>
          <w:rFonts w:ascii="Times New Roman" w:hAnsi="Times New Roman"/>
        </w:rPr>
        <w:t xml:space="preserve">.  Before this, </w:t>
      </w:r>
      <w:r>
        <w:rPr>
          <w:rFonts w:ascii="Times New Roman" w:hAnsi="Times New Roman"/>
        </w:rPr>
        <w:t>chant scholars focused primarily</w:t>
      </w:r>
      <w:r w:rsidRPr="002326E8">
        <w:rPr>
          <w:rFonts w:ascii="Times New Roman" w:hAnsi="Times New Roman"/>
        </w:rPr>
        <w:t xml:space="preserve"> on the early liturgy of the Catholic Church in an attempt to understand its roots.  This early focus led to a static view of the liturgy, without taking into account the constantly evolving local chant traditions represented in liturgical books produced in the 250 years before the Council of Trent.  The present project, and the book </w:t>
      </w:r>
      <w:r>
        <w:rPr>
          <w:rFonts w:ascii="Times New Roman" w:hAnsi="Times New Roman"/>
        </w:rPr>
        <w:t xml:space="preserve">that will result from it, </w:t>
      </w:r>
      <w:r w:rsidRPr="002326E8">
        <w:rPr>
          <w:rFonts w:ascii="Times New Roman" w:hAnsi="Times New Roman"/>
        </w:rPr>
        <w:t>greatly advance</w:t>
      </w:r>
      <w:r>
        <w:rPr>
          <w:rFonts w:ascii="Times New Roman" w:hAnsi="Times New Roman"/>
        </w:rPr>
        <w:t>s</w:t>
      </w:r>
      <w:r w:rsidRPr="002326E8">
        <w:rPr>
          <w:rFonts w:ascii="Times New Roman" w:hAnsi="Times New Roman"/>
        </w:rPr>
        <w:t xml:space="preserve"> this new field</w:t>
      </w:r>
      <w:r>
        <w:rPr>
          <w:rFonts w:ascii="Times New Roman" w:hAnsi="Times New Roman"/>
        </w:rPr>
        <w:t xml:space="preserve"> of research</w:t>
      </w:r>
      <w:r w:rsidRPr="002326E8">
        <w:rPr>
          <w:rFonts w:ascii="Times New Roman" w:hAnsi="Times New Roman"/>
        </w:rPr>
        <w:t>. This expansion could open up new areas of research on the role of the liturgy in devotional communities, and the extent of influence that diocesan authorities had over their practices before the reforms of the Council of Trent.</w:t>
      </w:r>
    </w:p>
    <w:p w:rsidR="004147CB" w:rsidRPr="002326E8" w:rsidRDefault="004147CB" w:rsidP="004147CB">
      <w:pPr>
        <w:spacing w:after="0"/>
        <w:contextualSpacing/>
        <w:rPr>
          <w:rFonts w:ascii="Times New Roman" w:hAnsi="Times New Roman"/>
        </w:rPr>
      </w:pPr>
      <w:r w:rsidRPr="002326E8">
        <w:rPr>
          <w:rFonts w:ascii="Times New Roman" w:hAnsi="Times New Roman"/>
        </w:rPr>
        <w:tab/>
        <w:t xml:space="preserve">Third, </w:t>
      </w:r>
      <w:r>
        <w:rPr>
          <w:rFonts w:ascii="Times New Roman" w:hAnsi="Times New Roman"/>
        </w:rPr>
        <w:t>as the</w:t>
      </w:r>
      <w:r w:rsidRPr="002326E8">
        <w:rPr>
          <w:rFonts w:ascii="Times New Roman" w:hAnsi="Times New Roman"/>
        </w:rPr>
        <w:t xml:space="preserve"> methodological premise</w:t>
      </w:r>
      <w:r>
        <w:rPr>
          <w:rFonts w:ascii="Times New Roman" w:hAnsi="Times New Roman"/>
        </w:rPr>
        <w:t xml:space="preserve"> of this project</w:t>
      </w:r>
      <w:r w:rsidRPr="002326E8">
        <w:rPr>
          <w:rFonts w:ascii="Times New Roman" w:hAnsi="Times New Roman"/>
        </w:rPr>
        <w:t xml:space="preserve"> is inherently multidisciplinary, investigating music, texts, and historical and religious context using a</w:t>
      </w:r>
      <w:r>
        <w:rPr>
          <w:rFonts w:ascii="Times New Roman" w:hAnsi="Times New Roman"/>
        </w:rPr>
        <w:t xml:space="preserve"> wide range of sources, it </w:t>
      </w:r>
      <w:r w:rsidRPr="002326E8">
        <w:rPr>
          <w:rFonts w:ascii="Times New Roman" w:hAnsi="Times New Roman"/>
        </w:rPr>
        <w:t>provide</w:t>
      </w:r>
      <w:r>
        <w:rPr>
          <w:rFonts w:ascii="Times New Roman" w:hAnsi="Times New Roman"/>
        </w:rPr>
        <w:t>s</w:t>
      </w:r>
      <w:r w:rsidRPr="002326E8">
        <w:rPr>
          <w:rFonts w:ascii="Times New Roman" w:hAnsi="Times New Roman"/>
        </w:rPr>
        <w:t xml:space="preserve"> important information that purely textual analyses and religious historiography fail to indicate.</w:t>
      </w:r>
      <w:r>
        <w:rPr>
          <w:rFonts w:ascii="Times New Roman" w:hAnsi="Times New Roman"/>
        </w:rPr>
        <w:t xml:space="preserve">  Thus, </w:t>
      </w:r>
      <w:r w:rsidRPr="002326E8">
        <w:rPr>
          <w:rFonts w:ascii="Times New Roman" w:hAnsi="Times New Roman"/>
        </w:rPr>
        <w:t xml:space="preserve">this project has the potential to influence studies of the Southern Low Countries in other disciplines such as social history, art history, literary history, liturgiology, hagiography, and codicology. </w:t>
      </w:r>
    </w:p>
    <w:p w:rsidR="000B7765" w:rsidRPr="00046F65" w:rsidRDefault="004147CB" w:rsidP="00AA7A04">
      <w:pPr>
        <w:spacing w:after="0"/>
        <w:ind w:firstLine="708"/>
        <w:contextualSpacing/>
        <w:rPr>
          <w:rFonts w:ascii="Times New Roman" w:hAnsi="Times New Roman"/>
        </w:rPr>
      </w:pPr>
      <w:r>
        <w:rPr>
          <w:rFonts w:ascii="Times New Roman" w:hAnsi="Times New Roman"/>
        </w:rPr>
        <w:t>Fourth element of lasting impact for</w:t>
      </w:r>
      <w:r w:rsidRPr="002326E8">
        <w:rPr>
          <w:rFonts w:ascii="Times New Roman" w:hAnsi="Times New Roman"/>
        </w:rPr>
        <w:t xml:space="preserve"> this project is that it crosses current political and regional borders.  The result of the increasing political separation between Flanders and Wallonia in Belgium is that very few researchers who study music cross the border between these two regions, and archival collections and libraries that were once centralized have now been divided.  This is also true for studies of Northern France and the Southern Netherlands.  Before 1559, however, the dioceses of Tournai and Cambrai included all of these regions.  The present undertaking of research along modern national and regional lines is due in large part to regional and national funding constraints, which promote the study of cultural heritage only within current political boundaries. Yet this project covers not only the cultural heritage of Belgium as a whole, but also that of Northern France and the Southern Netherlands, and it witnesses their common historical heritage.  Thus Belgium, France, and the Netherlands, as political units within the European Community, could easily benefit from the results of this project, </w:t>
      </w:r>
      <w:r>
        <w:rPr>
          <w:rFonts w:ascii="Times New Roman" w:hAnsi="Times New Roman"/>
        </w:rPr>
        <w:t xml:space="preserve">as it </w:t>
      </w:r>
      <w:r w:rsidRPr="002326E8">
        <w:rPr>
          <w:rFonts w:ascii="Times New Roman" w:hAnsi="Times New Roman"/>
        </w:rPr>
        <w:t>will validate an important aspect of their common history and contribute to efforts for its conservation and place in public education.  This has recently been a subject of intense interest within the European Union, as is evident in the international guidelines set out in 2005 at Faro, Portugal, during the Council of Europe Framework Convention on the Value of Cultural Heritage for Society. Article 5b of these guidelines encour</w:t>
      </w:r>
      <w:r>
        <w:rPr>
          <w:rFonts w:ascii="Times New Roman" w:hAnsi="Times New Roman"/>
        </w:rPr>
        <w:t>ages the European Community to “</w:t>
      </w:r>
      <w:r w:rsidRPr="002326E8">
        <w:rPr>
          <w:rFonts w:ascii="Times New Roman" w:hAnsi="Times New Roman"/>
        </w:rPr>
        <w:t>enhance the value of cultural heritage through its identification, study, interpretation, protection, conservation and presentation.</w:t>
      </w:r>
      <w:r>
        <w:rPr>
          <w:rFonts w:ascii="Times New Roman" w:hAnsi="Times New Roman"/>
        </w:rPr>
        <w:t>”</w:t>
      </w:r>
      <w:r>
        <w:rPr>
          <w:rStyle w:val="Voetnootmarkering"/>
          <w:rFonts w:ascii="Times New Roman" w:hAnsi="Times New Roman"/>
        </w:rPr>
        <w:footnoteReference w:id="1"/>
      </w:r>
    </w:p>
    <w:sectPr w:rsidR="000B7765" w:rsidRPr="00046F65" w:rsidSect="00AA7A04">
      <w:footerReference w:type="even" r:id="rId7"/>
      <w:footerReference w:type="default" r:id="rId8"/>
      <w:pgSz w:w="11900" w:h="16840"/>
      <w:pgMar w:top="1304" w:right="1797" w:bottom="130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8DB" w:rsidRDefault="000008DB">
      <w:pPr>
        <w:spacing w:after="0"/>
      </w:pPr>
      <w:r>
        <w:separator/>
      </w:r>
    </w:p>
  </w:endnote>
  <w:endnote w:type="continuationSeparator" w:id="0">
    <w:p w:rsidR="000008DB" w:rsidRDefault="00000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CB" w:rsidRDefault="004147CB" w:rsidP="004C75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147CB" w:rsidRDefault="004147CB" w:rsidP="00F2791D">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CB" w:rsidRDefault="004147CB" w:rsidP="004C75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411E2">
      <w:rPr>
        <w:rStyle w:val="Paginanummer"/>
        <w:noProof/>
      </w:rPr>
      <w:t>1</w:t>
    </w:r>
    <w:r>
      <w:rPr>
        <w:rStyle w:val="Paginanummer"/>
      </w:rPr>
      <w:fldChar w:fldCharType="end"/>
    </w:r>
  </w:p>
  <w:p w:rsidR="004147CB" w:rsidRDefault="004147CB" w:rsidP="00F2791D">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8DB" w:rsidRDefault="000008DB">
      <w:pPr>
        <w:spacing w:after="0"/>
      </w:pPr>
      <w:r>
        <w:separator/>
      </w:r>
    </w:p>
  </w:footnote>
  <w:footnote w:type="continuationSeparator" w:id="0">
    <w:p w:rsidR="000008DB" w:rsidRDefault="000008DB">
      <w:pPr>
        <w:spacing w:after="0"/>
      </w:pPr>
      <w:r>
        <w:continuationSeparator/>
      </w:r>
    </w:p>
  </w:footnote>
  <w:footnote w:id="1">
    <w:p w:rsidR="004147CB" w:rsidRPr="00AA7A04" w:rsidRDefault="004147CB" w:rsidP="00AA7A04">
      <w:pPr>
        <w:pStyle w:val="Eindnoottekst"/>
        <w:spacing w:after="100" w:afterAutospacing="1" w:line="240" w:lineRule="auto"/>
        <w:contextualSpacing/>
        <w:rPr>
          <w:rFonts w:ascii="Times New Roman" w:hAnsi="Times New Roman"/>
          <w:b/>
          <w:sz w:val="22"/>
          <w:szCs w:val="22"/>
        </w:rPr>
      </w:pPr>
      <w:r>
        <w:rPr>
          <w:rStyle w:val="Voetnootmarkering"/>
        </w:rPr>
        <w:footnoteRef/>
      </w:r>
      <w:r>
        <w:t xml:space="preserve"> </w:t>
      </w:r>
      <w:r w:rsidRPr="009E37EB">
        <w:rPr>
          <w:rFonts w:ascii="Times New Roman" w:hAnsi="Times New Roman"/>
          <w:sz w:val="22"/>
          <w:szCs w:val="22"/>
        </w:rPr>
        <w:t xml:space="preserve">See the </w:t>
      </w:r>
      <w:r w:rsidRPr="009E37EB">
        <w:rPr>
          <w:rFonts w:ascii="Times New Roman" w:hAnsi="Times New Roman"/>
          <w:i/>
          <w:sz w:val="22"/>
          <w:szCs w:val="22"/>
        </w:rPr>
        <w:t>Council of Europe Framework Convention on the Value of Cultural Heritage for Society.</w:t>
      </w:r>
      <w:r w:rsidRPr="009E37EB">
        <w:rPr>
          <w:rFonts w:ascii="Times New Roman" w:hAnsi="Times New Roman"/>
          <w:sz w:val="22"/>
          <w:szCs w:val="22"/>
        </w:rPr>
        <w:t xml:space="preserve"> Council of</w:t>
      </w:r>
      <w:r>
        <w:rPr>
          <w:rFonts w:ascii="Times New Roman" w:hAnsi="Times New Roman"/>
          <w:sz w:val="22"/>
          <w:szCs w:val="22"/>
        </w:rPr>
        <w:t xml:space="preserve"> Europe Treaty Series, No. 199 (Faro: Portugal, 2005), 4.  This document</w:t>
      </w:r>
      <w:r w:rsidRPr="009E37EB">
        <w:rPr>
          <w:rFonts w:ascii="Times New Roman" w:hAnsi="Times New Roman"/>
          <w:sz w:val="22"/>
          <w:szCs w:val="22"/>
        </w:rPr>
        <w:t xml:space="preserve"> can be downloaded from </w:t>
      </w:r>
      <w:hyperlink r:id="rId1" w:history="1">
        <w:r w:rsidRPr="009E37EB">
          <w:rPr>
            <w:rStyle w:val="Hyperlink"/>
            <w:rFonts w:ascii="Times New Roman" w:hAnsi="Times New Roman"/>
            <w:sz w:val="22"/>
            <w:szCs w:val="22"/>
          </w:rPr>
          <w:t>http://www.faronet.be/en/documents</w:t>
        </w:r>
      </w:hyperlink>
      <w:r w:rsidRPr="009E37EB">
        <w:rPr>
          <w:rFonts w:ascii="Times New Roman" w:hAnsi="Times New Roman"/>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B6"/>
    <w:rsid w:val="000008DB"/>
    <w:rsid w:val="000411E2"/>
    <w:rsid w:val="00046F65"/>
    <w:rsid w:val="000B7765"/>
    <w:rsid w:val="003D1886"/>
    <w:rsid w:val="004147CB"/>
    <w:rsid w:val="004C75F3"/>
    <w:rsid w:val="00582E44"/>
    <w:rsid w:val="005B2520"/>
    <w:rsid w:val="00665901"/>
    <w:rsid w:val="00A35C49"/>
    <w:rsid w:val="00A958F2"/>
    <w:rsid w:val="00AA7A04"/>
    <w:rsid w:val="00B77371"/>
    <w:rsid w:val="00CD79B6"/>
    <w:rsid w:val="00F2791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23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dexIndent">
    <w:name w:val="Index Indent"/>
    <w:basedOn w:val="Index1"/>
    <w:qFormat/>
    <w:rsid w:val="00E775B8"/>
    <w:pPr>
      <w:ind w:left="238" w:hanging="238"/>
      <w:contextualSpacing/>
    </w:pPr>
    <w:rPr>
      <w:rFonts w:ascii="Times New Roman" w:eastAsia="Cambria" w:hAnsi="Times New Roman" w:cs="Times New Roman"/>
      <w:lang w:eastAsia="ja-JP"/>
    </w:rPr>
  </w:style>
  <w:style w:type="paragraph" w:styleId="Index1">
    <w:name w:val="index 1"/>
    <w:basedOn w:val="Standaard"/>
    <w:next w:val="Standaard"/>
    <w:autoRedefine/>
    <w:uiPriority w:val="99"/>
    <w:semiHidden/>
    <w:unhideWhenUsed/>
    <w:rsid w:val="00E775B8"/>
    <w:pPr>
      <w:spacing w:after="0"/>
      <w:ind w:left="240" w:hanging="240"/>
    </w:pPr>
  </w:style>
  <w:style w:type="paragraph" w:styleId="Voettekst">
    <w:name w:val="footer"/>
    <w:basedOn w:val="Standaard"/>
    <w:link w:val="VoettekstChar"/>
    <w:uiPriority w:val="99"/>
    <w:semiHidden/>
    <w:unhideWhenUsed/>
    <w:rsid w:val="00F2791D"/>
    <w:pPr>
      <w:tabs>
        <w:tab w:val="center" w:pos="4320"/>
        <w:tab w:val="right" w:pos="8640"/>
      </w:tabs>
      <w:spacing w:after="0"/>
    </w:pPr>
  </w:style>
  <w:style w:type="character" w:customStyle="1" w:styleId="VoettekstChar">
    <w:name w:val="Voettekst Char"/>
    <w:basedOn w:val="Standaardalinea-lettertype"/>
    <w:link w:val="Voettekst"/>
    <w:uiPriority w:val="99"/>
    <w:semiHidden/>
    <w:rsid w:val="00F2791D"/>
  </w:style>
  <w:style w:type="character" w:styleId="Paginanummer">
    <w:name w:val="page number"/>
    <w:basedOn w:val="Standaardalinea-lettertype"/>
    <w:uiPriority w:val="99"/>
    <w:semiHidden/>
    <w:unhideWhenUsed/>
    <w:rsid w:val="00F2791D"/>
  </w:style>
  <w:style w:type="paragraph" w:styleId="Eindnoottekst">
    <w:name w:val="endnote text"/>
    <w:basedOn w:val="Standaard"/>
    <w:link w:val="EindnoottekstChar"/>
    <w:uiPriority w:val="99"/>
    <w:unhideWhenUsed/>
    <w:rsid w:val="004147CB"/>
    <w:pPr>
      <w:spacing w:line="276" w:lineRule="auto"/>
    </w:pPr>
    <w:rPr>
      <w:rFonts w:ascii="Calibri" w:eastAsia="Calibri" w:hAnsi="Calibri" w:cs="Times New Roman"/>
    </w:rPr>
  </w:style>
  <w:style w:type="character" w:customStyle="1" w:styleId="EindnoottekstChar">
    <w:name w:val="Eindnoottekst Char"/>
    <w:basedOn w:val="Standaardalinea-lettertype"/>
    <w:link w:val="Eindnoottekst"/>
    <w:uiPriority w:val="99"/>
    <w:rsid w:val="004147CB"/>
    <w:rPr>
      <w:rFonts w:ascii="Calibri" w:eastAsia="Calibri" w:hAnsi="Calibri" w:cs="Times New Roman"/>
    </w:rPr>
  </w:style>
  <w:style w:type="character" w:styleId="Eindnootmarkering">
    <w:name w:val="endnote reference"/>
    <w:basedOn w:val="Standaardalinea-lettertype"/>
    <w:uiPriority w:val="99"/>
    <w:semiHidden/>
    <w:unhideWhenUsed/>
    <w:rsid w:val="004147CB"/>
    <w:rPr>
      <w:vertAlign w:val="superscript"/>
    </w:rPr>
  </w:style>
  <w:style w:type="character" w:styleId="Hyperlink">
    <w:name w:val="Hyperlink"/>
    <w:basedOn w:val="Standaardalinea-lettertype"/>
    <w:uiPriority w:val="99"/>
    <w:unhideWhenUsed/>
    <w:rsid w:val="004147CB"/>
    <w:rPr>
      <w:color w:val="0000FF"/>
      <w:u w:val="single"/>
    </w:rPr>
  </w:style>
  <w:style w:type="paragraph" w:styleId="Voetnoottekst">
    <w:name w:val="footnote text"/>
    <w:basedOn w:val="Standaard"/>
    <w:link w:val="VoetnoottekstChar"/>
    <w:uiPriority w:val="99"/>
    <w:semiHidden/>
    <w:unhideWhenUsed/>
    <w:rsid w:val="004147CB"/>
    <w:pPr>
      <w:spacing w:after="0"/>
    </w:pPr>
  </w:style>
  <w:style w:type="character" w:customStyle="1" w:styleId="VoetnoottekstChar">
    <w:name w:val="Voetnoottekst Char"/>
    <w:basedOn w:val="Standaardalinea-lettertype"/>
    <w:link w:val="Voetnoottekst"/>
    <w:uiPriority w:val="99"/>
    <w:semiHidden/>
    <w:rsid w:val="004147CB"/>
  </w:style>
  <w:style w:type="character" w:styleId="Voetnootmarkering">
    <w:name w:val="footnote reference"/>
    <w:basedOn w:val="Standaardalinea-lettertype"/>
    <w:uiPriority w:val="99"/>
    <w:semiHidden/>
    <w:unhideWhenUsed/>
    <w:rsid w:val="004147CB"/>
    <w:rPr>
      <w:vertAlign w:val="superscript"/>
    </w:rPr>
  </w:style>
  <w:style w:type="paragraph" w:styleId="Koptekst">
    <w:name w:val="header"/>
    <w:basedOn w:val="Standaard"/>
    <w:link w:val="KoptekstChar"/>
    <w:uiPriority w:val="99"/>
    <w:semiHidden/>
    <w:unhideWhenUsed/>
    <w:rsid w:val="00AA7A04"/>
    <w:pPr>
      <w:tabs>
        <w:tab w:val="center" w:pos="4320"/>
        <w:tab w:val="right" w:pos="8640"/>
      </w:tabs>
      <w:spacing w:after="0"/>
    </w:pPr>
  </w:style>
  <w:style w:type="character" w:customStyle="1" w:styleId="KoptekstChar">
    <w:name w:val="Koptekst Char"/>
    <w:basedOn w:val="Standaardalinea-lettertype"/>
    <w:link w:val="Koptekst"/>
    <w:uiPriority w:val="99"/>
    <w:semiHidden/>
    <w:rsid w:val="00AA7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23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dexIndent">
    <w:name w:val="Index Indent"/>
    <w:basedOn w:val="Index1"/>
    <w:qFormat/>
    <w:rsid w:val="00E775B8"/>
    <w:pPr>
      <w:ind w:left="238" w:hanging="238"/>
      <w:contextualSpacing/>
    </w:pPr>
    <w:rPr>
      <w:rFonts w:ascii="Times New Roman" w:eastAsia="Cambria" w:hAnsi="Times New Roman" w:cs="Times New Roman"/>
      <w:lang w:eastAsia="ja-JP"/>
    </w:rPr>
  </w:style>
  <w:style w:type="paragraph" w:styleId="Index1">
    <w:name w:val="index 1"/>
    <w:basedOn w:val="Standaard"/>
    <w:next w:val="Standaard"/>
    <w:autoRedefine/>
    <w:uiPriority w:val="99"/>
    <w:semiHidden/>
    <w:unhideWhenUsed/>
    <w:rsid w:val="00E775B8"/>
    <w:pPr>
      <w:spacing w:after="0"/>
      <w:ind w:left="240" w:hanging="240"/>
    </w:pPr>
  </w:style>
  <w:style w:type="paragraph" w:styleId="Voettekst">
    <w:name w:val="footer"/>
    <w:basedOn w:val="Standaard"/>
    <w:link w:val="VoettekstChar"/>
    <w:uiPriority w:val="99"/>
    <w:semiHidden/>
    <w:unhideWhenUsed/>
    <w:rsid w:val="00F2791D"/>
    <w:pPr>
      <w:tabs>
        <w:tab w:val="center" w:pos="4320"/>
        <w:tab w:val="right" w:pos="8640"/>
      </w:tabs>
      <w:spacing w:after="0"/>
    </w:pPr>
  </w:style>
  <w:style w:type="character" w:customStyle="1" w:styleId="VoettekstChar">
    <w:name w:val="Voettekst Char"/>
    <w:basedOn w:val="Standaardalinea-lettertype"/>
    <w:link w:val="Voettekst"/>
    <w:uiPriority w:val="99"/>
    <w:semiHidden/>
    <w:rsid w:val="00F2791D"/>
  </w:style>
  <w:style w:type="character" w:styleId="Paginanummer">
    <w:name w:val="page number"/>
    <w:basedOn w:val="Standaardalinea-lettertype"/>
    <w:uiPriority w:val="99"/>
    <w:semiHidden/>
    <w:unhideWhenUsed/>
    <w:rsid w:val="00F2791D"/>
  </w:style>
  <w:style w:type="paragraph" w:styleId="Eindnoottekst">
    <w:name w:val="endnote text"/>
    <w:basedOn w:val="Standaard"/>
    <w:link w:val="EindnoottekstChar"/>
    <w:uiPriority w:val="99"/>
    <w:unhideWhenUsed/>
    <w:rsid w:val="004147CB"/>
    <w:pPr>
      <w:spacing w:line="276" w:lineRule="auto"/>
    </w:pPr>
    <w:rPr>
      <w:rFonts w:ascii="Calibri" w:eastAsia="Calibri" w:hAnsi="Calibri" w:cs="Times New Roman"/>
    </w:rPr>
  </w:style>
  <w:style w:type="character" w:customStyle="1" w:styleId="EindnoottekstChar">
    <w:name w:val="Eindnoottekst Char"/>
    <w:basedOn w:val="Standaardalinea-lettertype"/>
    <w:link w:val="Eindnoottekst"/>
    <w:uiPriority w:val="99"/>
    <w:rsid w:val="004147CB"/>
    <w:rPr>
      <w:rFonts w:ascii="Calibri" w:eastAsia="Calibri" w:hAnsi="Calibri" w:cs="Times New Roman"/>
    </w:rPr>
  </w:style>
  <w:style w:type="character" w:styleId="Eindnootmarkering">
    <w:name w:val="endnote reference"/>
    <w:basedOn w:val="Standaardalinea-lettertype"/>
    <w:uiPriority w:val="99"/>
    <w:semiHidden/>
    <w:unhideWhenUsed/>
    <w:rsid w:val="004147CB"/>
    <w:rPr>
      <w:vertAlign w:val="superscript"/>
    </w:rPr>
  </w:style>
  <w:style w:type="character" w:styleId="Hyperlink">
    <w:name w:val="Hyperlink"/>
    <w:basedOn w:val="Standaardalinea-lettertype"/>
    <w:uiPriority w:val="99"/>
    <w:unhideWhenUsed/>
    <w:rsid w:val="004147CB"/>
    <w:rPr>
      <w:color w:val="0000FF"/>
      <w:u w:val="single"/>
    </w:rPr>
  </w:style>
  <w:style w:type="paragraph" w:styleId="Voetnoottekst">
    <w:name w:val="footnote text"/>
    <w:basedOn w:val="Standaard"/>
    <w:link w:val="VoetnoottekstChar"/>
    <w:uiPriority w:val="99"/>
    <w:semiHidden/>
    <w:unhideWhenUsed/>
    <w:rsid w:val="004147CB"/>
    <w:pPr>
      <w:spacing w:after="0"/>
    </w:pPr>
  </w:style>
  <w:style w:type="character" w:customStyle="1" w:styleId="VoetnoottekstChar">
    <w:name w:val="Voetnoottekst Char"/>
    <w:basedOn w:val="Standaardalinea-lettertype"/>
    <w:link w:val="Voetnoottekst"/>
    <w:uiPriority w:val="99"/>
    <w:semiHidden/>
    <w:rsid w:val="004147CB"/>
  </w:style>
  <w:style w:type="character" w:styleId="Voetnootmarkering">
    <w:name w:val="footnote reference"/>
    <w:basedOn w:val="Standaardalinea-lettertype"/>
    <w:uiPriority w:val="99"/>
    <w:semiHidden/>
    <w:unhideWhenUsed/>
    <w:rsid w:val="004147CB"/>
    <w:rPr>
      <w:vertAlign w:val="superscript"/>
    </w:rPr>
  </w:style>
  <w:style w:type="paragraph" w:styleId="Koptekst">
    <w:name w:val="header"/>
    <w:basedOn w:val="Standaard"/>
    <w:link w:val="KoptekstChar"/>
    <w:uiPriority w:val="99"/>
    <w:semiHidden/>
    <w:unhideWhenUsed/>
    <w:rsid w:val="00AA7A04"/>
    <w:pPr>
      <w:tabs>
        <w:tab w:val="center" w:pos="4320"/>
        <w:tab w:val="right" w:pos="8640"/>
      </w:tabs>
      <w:spacing w:after="0"/>
    </w:pPr>
  </w:style>
  <w:style w:type="character" w:customStyle="1" w:styleId="KoptekstChar">
    <w:name w:val="Koptekst Char"/>
    <w:basedOn w:val="Standaardalinea-lettertype"/>
    <w:link w:val="Koptekst"/>
    <w:uiPriority w:val="99"/>
    <w:semiHidden/>
    <w:rsid w:val="00AA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_rels/footnotes.xml.rels><?xml version="1.0" encoding="UTF-8" standalone="yes"?><Relationships xmlns="http://schemas.openxmlformats.org/package/2006/relationships"><Relationship Id="rId1" Target="http://www.faronet.be/en/document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2</Pages>
  <Words>1129</Words>
  <Characters>6438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xsi:nil="true"/>
  <LinksUpToDate>false</LinksUpToDate>
  <CharactersWithSpaces>7552</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2013-03-06T10:24:00Z</dcterms:created>
  <dcterms:modified xsi:type="dcterms:W3CDTF">2013-03-06T10:24:00Z</dcterms:modified>
  <cp:revision>2</cp:revision>
</cp:coreProperties>
</file>