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D0" w:rsidRPr="00247B2C" w:rsidRDefault="008B2FD0" w:rsidP="0039253E">
      <w:pPr>
        <w:spacing w:after="0" w:line="240" w:lineRule="auto"/>
        <w:rPr>
          <w:rFonts w:ascii="Times New Roman" w:hAnsi="Times New Roman"/>
          <w:b/>
        </w:rPr>
      </w:pPr>
      <w:r w:rsidRPr="00247B2C">
        <w:rPr>
          <w:rFonts w:ascii="Times New Roman" w:hAnsi="Times New Roman"/>
          <w:b/>
        </w:rPr>
        <w:t>Final Summary Report</w:t>
      </w:r>
    </w:p>
    <w:p w:rsidR="00200356" w:rsidRPr="00247B2C" w:rsidRDefault="00200356" w:rsidP="0039253E">
      <w:pPr>
        <w:autoSpaceDE w:val="0"/>
        <w:autoSpaceDN w:val="0"/>
        <w:adjustRightInd w:val="0"/>
        <w:spacing w:after="0" w:line="240" w:lineRule="auto"/>
        <w:rPr>
          <w:rFonts w:ascii="Times New Roman" w:hAnsi="Times New Roman"/>
        </w:rPr>
      </w:pPr>
    </w:p>
    <w:p w:rsidR="00200356" w:rsidRPr="00247B2C" w:rsidRDefault="00EE7F13" w:rsidP="0039253E">
      <w:pPr>
        <w:autoSpaceDE w:val="0"/>
        <w:autoSpaceDN w:val="0"/>
        <w:adjustRightInd w:val="0"/>
        <w:spacing w:after="0" w:line="240" w:lineRule="auto"/>
        <w:rPr>
          <w:rFonts w:ascii="Times New Roman" w:hAnsi="Times New Roman"/>
          <w:bCs/>
        </w:rPr>
      </w:pPr>
      <w:r w:rsidRPr="00247B2C">
        <w:rPr>
          <w:rFonts w:ascii="Times New Roman" w:hAnsi="Times New Roman"/>
        </w:rPr>
        <w:t>Project title: “</w:t>
      </w:r>
      <w:r w:rsidR="00200356" w:rsidRPr="00247B2C">
        <w:rPr>
          <w:rFonts w:ascii="Times New Roman" w:hAnsi="Times New Roman"/>
          <w:bCs/>
        </w:rPr>
        <w:t>Getting Energy from Russia to Europe: Domestic political conditions in the energy-poor transit states of the former USSR and risks to energy transit to the European Union”</w:t>
      </w:r>
    </w:p>
    <w:p w:rsidR="00200356" w:rsidRPr="00247B2C" w:rsidRDefault="00200356" w:rsidP="0039253E">
      <w:pPr>
        <w:spacing w:after="0" w:line="240" w:lineRule="auto"/>
        <w:rPr>
          <w:rFonts w:ascii="Times New Roman" w:hAnsi="Times New Roman"/>
        </w:rPr>
      </w:pPr>
      <w:r w:rsidRPr="00247B2C">
        <w:rPr>
          <w:rFonts w:ascii="Times New Roman" w:hAnsi="Times New Roman"/>
        </w:rPr>
        <w:t>Site of research: Aleksanteri Institute, University of Helsinki</w:t>
      </w:r>
    </w:p>
    <w:p w:rsidR="00200356" w:rsidRPr="00247B2C" w:rsidRDefault="00200356" w:rsidP="0039253E">
      <w:pPr>
        <w:spacing w:after="0" w:line="240" w:lineRule="auto"/>
        <w:rPr>
          <w:rFonts w:ascii="Times New Roman" w:hAnsi="Times New Roman"/>
        </w:rPr>
      </w:pPr>
      <w:r w:rsidRPr="00247B2C">
        <w:rPr>
          <w:rFonts w:ascii="Times New Roman" w:hAnsi="Times New Roman"/>
        </w:rPr>
        <w:t>Fellow: Prof. Margarita M. Balmaceda, PhD</w:t>
      </w:r>
    </w:p>
    <w:p w:rsidR="00CD422E" w:rsidRPr="00247B2C" w:rsidRDefault="00CD422E" w:rsidP="0039253E">
      <w:pPr>
        <w:spacing w:after="0" w:line="240" w:lineRule="auto"/>
        <w:rPr>
          <w:rFonts w:ascii="Times New Roman" w:hAnsi="Times New Roman"/>
        </w:rPr>
      </w:pPr>
    </w:p>
    <w:p w:rsidR="007D477C" w:rsidRPr="00247B2C" w:rsidRDefault="00200356" w:rsidP="0039253E">
      <w:pPr>
        <w:autoSpaceDE w:val="0"/>
        <w:autoSpaceDN w:val="0"/>
        <w:adjustRightInd w:val="0"/>
        <w:spacing w:after="0" w:line="240" w:lineRule="auto"/>
        <w:jc w:val="both"/>
        <w:rPr>
          <w:rFonts w:ascii="Times New Roman" w:hAnsi="Times New Roman"/>
        </w:rPr>
      </w:pPr>
      <w:r w:rsidRPr="00247B2C">
        <w:rPr>
          <w:rFonts w:ascii="Times New Roman" w:hAnsi="Times New Roman"/>
        </w:rPr>
        <w:tab/>
        <w:t>The main obj</w:t>
      </w:r>
      <w:r w:rsidR="00BA3A31" w:rsidRPr="00247B2C">
        <w:rPr>
          <w:rFonts w:ascii="Times New Roman" w:hAnsi="Times New Roman"/>
        </w:rPr>
        <w:t>ective of this project was to analyze the domestic determinants of energy and transit policies in four energy-poor</w:t>
      </w:r>
      <w:r w:rsidR="000F50FA" w:rsidRPr="00247B2C">
        <w:rPr>
          <w:rFonts w:ascii="Times New Roman" w:hAnsi="Times New Roman"/>
        </w:rPr>
        <w:t xml:space="preserve"> post-Soviet</w:t>
      </w:r>
      <w:r w:rsidR="00BA3A31" w:rsidRPr="00247B2C">
        <w:rPr>
          <w:rFonts w:ascii="Times New Roman" w:hAnsi="Times New Roman"/>
        </w:rPr>
        <w:t xml:space="preserve"> states,</w:t>
      </w:r>
      <w:r w:rsidR="003C50D0" w:rsidRPr="00247B2C">
        <w:rPr>
          <w:rFonts w:ascii="Times New Roman" w:hAnsi="Times New Roman"/>
        </w:rPr>
        <w:t xml:space="preserve"> </w:t>
      </w:r>
      <w:r w:rsidR="00BA3A31" w:rsidRPr="00247B2C">
        <w:rPr>
          <w:rFonts w:ascii="Times New Roman" w:hAnsi="Times New Roman"/>
        </w:rPr>
        <w:t>each playing a role in the direct or indirect transit of Russian energy to the EU: Ukraine, Belarus, Lithuania and Moldova.</w:t>
      </w:r>
    </w:p>
    <w:p w:rsidR="007D477C" w:rsidRPr="00247B2C" w:rsidRDefault="007D477C" w:rsidP="0039253E">
      <w:pPr>
        <w:spacing w:before="15" w:after="0" w:line="240" w:lineRule="auto"/>
        <w:jc w:val="both"/>
        <w:rPr>
          <w:rFonts w:ascii="Times New Roman" w:hAnsi="Times New Roman"/>
        </w:rPr>
      </w:pPr>
      <w:r w:rsidRPr="00247B2C">
        <w:rPr>
          <w:rFonts w:ascii="Times New Roman" w:hAnsi="Times New Roman"/>
        </w:rPr>
        <w:tab/>
      </w:r>
    </w:p>
    <w:p w:rsidR="007D477C" w:rsidRPr="00247B2C" w:rsidRDefault="007D477C" w:rsidP="0039253E">
      <w:pPr>
        <w:spacing w:before="15" w:after="0" w:line="240" w:lineRule="auto"/>
        <w:jc w:val="both"/>
        <w:rPr>
          <w:rFonts w:ascii="Times New Roman" w:hAnsi="Times New Roman"/>
          <w:b/>
          <w:i/>
        </w:rPr>
      </w:pPr>
      <w:r w:rsidRPr="00247B2C">
        <w:rPr>
          <w:rFonts w:ascii="Times New Roman" w:hAnsi="Times New Roman"/>
        </w:rPr>
        <w:tab/>
      </w:r>
      <w:r w:rsidRPr="00247B2C">
        <w:rPr>
          <w:rFonts w:ascii="Times New Roman" w:hAnsi="Times New Roman"/>
          <w:b/>
          <w:i/>
        </w:rPr>
        <w:t>Work carried out to achieve the research objective</w:t>
      </w:r>
    </w:p>
    <w:p w:rsidR="007D477C" w:rsidRPr="00247B2C" w:rsidRDefault="007D477C" w:rsidP="0039253E">
      <w:pPr>
        <w:spacing w:before="15" w:after="0" w:line="240" w:lineRule="auto"/>
        <w:ind w:firstLine="720"/>
        <w:jc w:val="both"/>
        <w:rPr>
          <w:rFonts w:ascii="Times New Roman" w:hAnsi="Times New Roman"/>
        </w:rPr>
      </w:pPr>
    </w:p>
    <w:p w:rsidR="003455FD" w:rsidRPr="00247B2C" w:rsidRDefault="00CD69CC" w:rsidP="0039253E">
      <w:pPr>
        <w:spacing w:after="0" w:line="240" w:lineRule="auto"/>
        <w:ind w:firstLine="720"/>
        <w:jc w:val="both"/>
        <w:rPr>
          <w:rFonts w:ascii="Times New Roman" w:eastAsia="Times New Roman" w:hAnsi="Times New Roman"/>
          <w:b/>
        </w:rPr>
      </w:pPr>
      <w:r w:rsidRPr="00247B2C">
        <w:rPr>
          <w:rFonts w:ascii="Times New Roman" w:hAnsi="Times New Roman"/>
        </w:rPr>
        <w:t>In order to achi</w:t>
      </w:r>
      <w:r w:rsidR="00BB6CA0" w:rsidRPr="00247B2C">
        <w:rPr>
          <w:rFonts w:ascii="Times New Roman" w:hAnsi="Times New Roman"/>
        </w:rPr>
        <w:t>e</w:t>
      </w:r>
      <w:r w:rsidRPr="00247B2C">
        <w:rPr>
          <w:rFonts w:ascii="Times New Roman" w:hAnsi="Times New Roman"/>
        </w:rPr>
        <w:t>ve this objective, a structured compari</w:t>
      </w:r>
      <w:r w:rsidR="00BB6CA0" w:rsidRPr="00247B2C">
        <w:rPr>
          <w:rFonts w:ascii="Times New Roman" w:hAnsi="Times New Roman"/>
        </w:rPr>
        <w:t>s</w:t>
      </w:r>
      <w:r w:rsidRPr="00247B2C">
        <w:rPr>
          <w:rFonts w:ascii="Times New Roman" w:hAnsi="Times New Roman"/>
        </w:rPr>
        <w:t xml:space="preserve">on </w:t>
      </w:r>
      <w:r w:rsidR="000F50FA" w:rsidRPr="00247B2C">
        <w:rPr>
          <w:rFonts w:ascii="Times New Roman" w:hAnsi="Times New Roman"/>
        </w:rPr>
        <w:t>of</w:t>
      </w:r>
      <w:r w:rsidR="00C63100" w:rsidRPr="00247B2C">
        <w:rPr>
          <w:rFonts w:ascii="Times New Roman" w:hAnsi="Times New Roman"/>
        </w:rPr>
        <w:t xml:space="preserve"> the way </w:t>
      </w:r>
      <w:r w:rsidR="008B2FD0" w:rsidRPr="00247B2C">
        <w:rPr>
          <w:rFonts w:ascii="Times New Roman" w:hAnsi="Times New Roman"/>
        </w:rPr>
        <w:t xml:space="preserve">each of these states have </w:t>
      </w:r>
      <w:r w:rsidRPr="00247B2C">
        <w:rPr>
          <w:rFonts w:ascii="Times New Roman" w:hAnsi="Times New Roman"/>
        </w:rPr>
        <w:t>managed their energy dependency on Russia, and th</w:t>
      </w:r>
      <w:r w:rsidR="000F50FA" w:rsidRPr="00247B2C">
        <w:rPr>
          <w:rFonts w:ascii="Times New Roman" w:hAnsi="Times New Roman"/>
        </w:rPr>
        <w:t>e domestic factors affecting it, was carried out.</w:t>
      </w:r>
      <w:r w:rsidR="00415029" w:rsidRPr="00247B2C">
        <w:rPr>
          <w:rFonts w:ascii="Times New Roman" w:hAnsi="Times New Roman"/>
        </w:rPr>
        <w:t xml:space="preserve"> </w:t>
      </w:r>
      <w:r w:rsidR="003455FD" w:rsidRPr="00247B2C">
        <w:rPr>
          <w:rFonts w:ascii="Times New Roman" w:hAnsi="Times New Roman"/>
        </w:rPr>
        <w:t xml:space="preserve">As a complement to this comparative analysis, </w:t>
      </w:r>
      <w:r w:rsidR="003455FD" w:rsidRPr="00247B2C">
        <w:rPr>
          <w:rFonts w:ascii="Times New Roman" w:eastAsia="Times New Roman" w:hAnsi="Times New Roman"/>
        </w:rPr>
        <w:t>the specificities of various trans-border energy-related value-added chains</w:t>
      </w:r>
      <w:r w:rsidR="008B2FD0" w:rsidRPr="00247B2C">
        <w:rPr>
          <w:rFonts w:ascii="Times New Roman" w:eastAsia="Times New Roman" w:hAnsi="Times New Roman"/>
        </w:rPr>
        <w:t xml:space="preserve"> (in oil and gas, from production to sale to end-users)</w:t>
      </w:r>
      <w:r w:rsidR="003455FD" w:rsidRPr="00247B2C">
        <w:rPr>
          <w:rFonts w:ascii="Times New Roman" w:eastAsia="Times New Roman" w:hAnsi="Times New Roman"/>
        </w:rPr>
        <w:t xml:space="preserve"> </w:t>
      </w:r>
      <w:r w:rsidR="003C50D0" w:rsidRPr="00247B2C">
        <w:rPr>
          <w:rFonts w:ascii="Times New Roman" w:eastAsia="Times New Roman" w:hAnsi="Times New Roman"/>
        </w:rPr>
        <w:t xml:space="preserve">involving </w:t>
      </w:r>
      <w:r w:rsidR="00C63100" w:rsidRPr="00247B2C">
        <w:rPr>
          <w:rFonts w:ascii="Times New Roman" w:eastAsia="Times New Roman" w:hAnsi="Times New Roman"/>
        </w:rPr>
        <w:t>actors in both</w:t>
      </w:r>
      <w:r w:rsidR="007A5A09" w:rsidRPr="00247B2C">
        <w:rPr>
          <w:rFonts w:ascii="Times New Roman" w:eastAsia="Times New Roman" w:hAnsi="Times New Roman"/>
        </w:rPr>
        <w:t xml:space="preserve"> Rus</w:t>
      </w:r>
      <w:r w:rsidR="008B2FD0" w:rsidRPr="00247B2C">
        <w:rPr>
          <w:rFonts w:ascii="Times New Roman" w:eastAsia="Times New Roman" w:hAnsi="Times New Roman"/>
        </w:rPr>
        <w:t xml:space="preserve">sia and the energy-poor states </w:t>
      </w:r>
      <w:r w:rsidR="003455FD" w:rsidRPr="00247B2C">
        <w:rPr>
          <w:rFonts w:ascii="Times New Roman" w:eastAsia="Times New Roman" w:hAnsi="Times New Roman"/>
        </w:rPr>
        <w:t xml:space="preserve">were studied. </w:t>
      </w:r>
    </w:p>
    <w:p w:rsidR="003C50D0" w:rsidRPr="00247B2C" w:rsidRDefault="00BB6CA0" w:rsidP="008B2FD0">
      <w:pPr>
        <w:spacing w:after="0" w:line="240" w:lineRule="auto"/>
        <w:ind w:firstLine="720"/>
        <w:jc w:val="both"/>
        <w:rPr>
          <w:rFonts w:ascii="Times New Roman" w:hAnsi="Times New Roman"/>
        </w:rPr>
      </w:pPr>
      <w:r w:rsidRPr="00247B2C">
        <w:rPr>
          <w:rFonts w:ascii="Times New Roman" w:hAnsi="Times New Roman"/>
        </w:rPr>
        <w:t>Th</w:t>
      </w:r>
      <w:r w:rsidR="00C63100" w:rsidRPr="00247B2C">
        <w:rPr>
          <w:rFonts w:ascii="Times New Roman" w:hAnsi="Times New Roman"/>
        </w:rPr>
        <w:t xml:space="preserve">ese </w:t>
      </w:r>
      <w:r w:rsidRPr="00247B2C">
        <w:rPr>
          <w:rFonts w:ascii="Times New Roman" w:hAnsi="Times New Roman"/>
        </w:rPr>
        <w:t xml:space="preserve">two analyses were </w:t>
      </w:r>
      <w:r w:rsidR="00415029" w:rsidRPr="00247B2C">
        <w:rPr>
          <w:rFonts w:ascii="Times New Roman" w:hAnsi="Times New Roman"/>
        </w:rPr>
        <w:t xml:space="preserve">accomplished through </w:t>
      </w:r>
      <w:r w:rsidR="007D477C" w:rsidRPr="00247B2C">
        <w:rPr>
          <w:rFonts w:ascii="Times New Roman" w:hAnsi="Times New Roman"/>
        </w:rPr>
        <w:t xml:space="preserve">the use of international and local statistics, government documents and the local press, and </w:t>
      </w:r>
      <w:r w:rsidR="008B2FD0" w:rsidRPr="00247B2C">
        <w:rPr>
          <w:rFonts w:ascii="Times New Roman" w:hAnsi="Times New Roman"/>
        </w:rPr>
        <w:t xml:space="preserve">notes from </w:t>
      </w:r>
      <w:r w:rsidR="007D477C" w:rsidRPr="00247B2C">
        <w:rPr>
          <w:rFonts w:ascii="Times New Roman" w:hAnsi="Times New Roman"/>
        </w:rPr>
        <w:t>interviews and consultations with policy-makers, analysts,</w:t>
      </w:r>
      <w:r w:rsidR="008B2FD0" w:rsidRPr="00247B2C">
        <w:rPr>
          <w:rFonts w:ascii="Times New Roman" w:hAnsi="Times New Roman"/>
        </w:rPr>
        <w:t xml:space="preserve"> and energy-market practitioners (conducted before the start of the MC IFF). </w:t>
      </w:r>
      <w:r w:rsidR="00415029" w:rsidRPr="00247B2C">
        <w:rPr>
          <w:rFonts w:ascii="Times New Roman" w:hAnsi="Times New Roman"/>
        </w:rPr>
        <w:t xml:space="preserve">In addition, </w:t>
      </w:r>
      <w:r w:rsidR="008B2FD0" w:rsidRPr="00247B2C">
        <w:rPr>
          <w:rFonts w:ascii="Times New Roman" w:hAnsi="Times New Roman"/>
        </w:rPr>
        <w:t>supplementary</w:t>
      </w:r>
      <w:r w:rsidR="00415029" w:rsidRPr="00247B2C">
        <w:rPr>
          <w:rFonts w:ascii="Times New Roman" w:hAnsi="Times New Roman"/>
        </w:rPr>
        <w:t xml:space="preserve"> work needed to be carried out concerning the cases of Belarus and Moldova, the two cases </w:t>
      </w:r>
      <w:r w:rsidR="000F50FA" w:rsidRPr="00247B2C">
        <w:rPr>
          <w:rFonts w:ascii="Times New Roman" w:hAnsi="Times New Roman"/>
        </w:rPr>
        <w:t>with the weakest</w:t>
      </w:r>
      <w:r w:rsidR="00415029" w:rsidRPr="00247B2C">
        <w:rPr>
          <w:rFonts w:ascii="Times New Roman" w:hAnsi="Times New Roman"/>
        </w:rPr>
        <w:t xml:space="preserve"> statistical and documentary </w:t>
      </w:r>
      <w:r w:rsidR="000F50FA" w:rsidRPr="00247B2C">
        <w:rPr>
          <w:rFonts w:ascii="Times New Roman" w:hAnsi="Times New Roman"/>
        </w:rPr>
        <w:t>base</w:t>
      </w:r>
      <w:r w:rsidR="00415029" w:rsidRPr="00247B2C">
        <w:rPr>
          <w:rFonts w:ascii="Times New Roman" w:hAnsi="Times New Roman"/>
        </w:rPr>
        <w:t>: i</w:t>
      </w:r>
      <w:r w:rsidR="007D477C" w:rsidRPr="00247B2C">
        <w:rPr>
          <w:rFonts w:ascii="Times New Roman" w:hAnsi="Times New Roman"/>
        </w:rPr>
        <w:t>n the case of Belarus, a set of twenty</w:t>
      </w:r>
      <w:r w:rsidR="00A82D6D" w:rsidRPr="00247B2C">
        <w:rPr>
          <w:rFonts w:ascii="Times New Roman" w:hAnsi="Times New Roman"/>
        </w:rPr>
        <w:t xml:space="preserve"> </w:t>
      </w:r>
      <w:r w:rsidR="00415029" w:rsidRPr="00247B2C">
        <w:rPr>
          <w:rFonts w:ascii="Times New Roman" w:hAnsi="Times New Roman"/>
        </w:rPr>
        <w:t>statistical tables</w:t>
      </w:r>
      <w:r w:rsidR="001C3C41" w:rsidRPr="00247B2C">
        <w:rPr>
          <w:rFonts w:ascii="Times New Roman" w:hAnsi="Times New Roman"/>
        </w:rPr>
        <w:t xml:space="preserve"> providing</w:t>
      </w:r>
      <w:r w:rsidR="008E4075" w:rsidRPr="00247B2C">
        <w:rPr>
          <w:rFonts w:ascii="Times New Roman" w:hAnsi="Times New Roman"/>
        </w:rPr>
        <w:t xml:space="preserve"> a unique view of the connections between domestic and foreign energy policy was compiled in collaboration with two Belarusian economists. In the case of Moldova, field research was conducted in-cou</w:t>
      </w:r>
      <w:r w:rsidR="007D477C" w:rsidRPr="00247B2C">
        <w:rPr>
          <w:rFonts w:ascii="Times New Roman" w:hAnsi="Times New Roman"/>
        </w:rPr>
        <w:t>n</w:t>
      </w:r>
      <w:r w:rsidR="008E4075" w:rsidRPr="00247B2C">
        <w:rPr>
          <w:rFonts w:ascii="Times New Roman" w:hAnsi="Times New Roman"/>
        </w:rPr>
        <w:t>try, and the Fell</w:t>
      </w:r>
      <w:r w:rsidR="007D477C" w:rsidRPr="00247B2C">
        <w:rPr>
          <w:rFonts w:ascii="Times New Roman" w:hAnsi="Times New Roman"/>
        </w:rPr>
        <w:t xml:space="preserve">ow </w:t>
      </w:r>
      <w:r w:rsidR="008E4075" w:rsidRPr="00247B2C">
        <w:rPr>
          <w:rFonts w:ascii="Times New Roman" w:hAnsi="Times New Roman"/>
        </w:rPr>
        <w:t>started training in Romanian in order to use needed l</w:t>
      </w:r>
      <w:r w:rsidR="001C3C41" w:rsidRPr="00247B2C">
        <w:rPr>
          <w:rFonts w:ascii="Times New Roman" w:hAnsi="Times New Roman"/>
        </w:rPr>
        <w:t xml:space="preserve">ocal materials for this </w:t>
      </w:r>
      <w:r w:rsidR="007D477C" w:rsidRPr="00247B2C">
        <w:rPr>
          <w:rFonts w:ascii="Times New Roman" w:hAnsi="Times New Roman"/>
        </w:rPr>
        <w:t xml:space="preserve">and subsequent projects. </w:t>
      </w:r>
      <w:r w:rsidR="007D477C" w:rsidRPr="00247B2C">
        <w:rPr>
          <w:rFonts w:ascii="Times New Roman" w:eastAsia="Times New Roman" w:hAnsi="Times New Roman"/>
        </w:rPr>
        <w:t>Sources in Russian, Ukrainian, Belarusian, Romanian, as well as in English and German and (in translation) Lithuanian were used for the project.</w:t>
      </w:r>
    </w:p>
    <w:p w:rsidR="000C2E02" w:rsidRPr="00247B2C" w:rsidRDefault="003C50D0" w:rsidP="0039253E">
      <w:pPr>
        <w:spacing w:after="0" w:line="240" w:lineRule="auto"/>
        <w:ind w:firstLine="720"/>
        <w:jc w:val="both"/>
        <w:rPr>
          <w:rFonts w:ascii="Times New Roman" w:hAnsi="Times New Roman"/>
        </w:rPr>
      </w:pPr>
      <w:r w:rsidRPr="00247B2C">
        <w:rPr>
          <w:rFonts w:ascii="Times New Roman" w:hAnsi="Times New Roman"/>
        </w:rPr>
        <w:t>The research</w:t>
      </w:r>
      <w:r w:rsidR="00B4142C" w:rsidRPr="00247B2C">
        <w:rPr>
          <w:rFonts w:ascii="Times New Roman" w:hAnsi="Times New Roman"/>
        </w:rPr>
        <w:t xml:space="preserve"> objective was fully met. New knowledge was created on </w:t>
      </w:r>
      <w:r w:rsidR="00075CC7" w:rsidRPr="00247B2C">
        <w:rPr>
          <w:rFonts w:ascii="Times New Roman" w:hAnsi="Times New Roman"/>
        </w:rPr>
        <w:t>critical issues for the EU’s security of supply</w:t>
      </w:r>
      <w:r w:rsidR="00B4142C" w:rsidRPr="00247B2C">
        <w:rPr>
          <w:rFonts w:ascii="Times New Roman" w:hAnsi="Times New Roman"/>
        </w:rPr>
        <w:t xml:space="preserve">, new insights were </w:t>
      </w:r>
      <w:r w:rsidRPr="00247B2C">
        <w:rPr>
          <w:rFonts w:ascii="Times New Roman" w:hAnsi="Times New Roman"/>
        </w:rPr>
        <w:t>developed concerning</w:t>
      </w:r>
      <w:r w:rsidR="00B4142C" w:rsidRPr="00247B2C">
        <w:rPr>
          <w:rFonts w:ascii="Times New Roman" w:hAnsi="Times New Roman"/>
        </w:rPr>
        <w:t xml:space="preserve"> needed future avenues of research</w:t>
      </w:r>
      <w:r w:rsidR="000C2E02" w:rsidRPr="00247B2C">
        <w:rPr>
          <w:rFonts w:ascii="Times New Roman" w:hAnsi="Times New Roman"/>
        </w:rPr>
        <w:t>, and new partnerships were developed for successfully carrying out these initiatives. The project’s contributions to each of these areas are summarized below.</w:t>
      </w:r>
    </w:p>
    <w:p w:rsidR="0046507A" w:rsidRPr="00247B2C" w:rsidRDefault="0046507A" w:rsidP="0039253E">
      <w:pPr>
        <w:spacing w:after="0" w:line="240" w:lineRule="auto"/>
        <w:ind w:firstLine="720"/>
        <w:jc w:val="both"/>
        <w:rPr>
          <w:rFonts w:ascii="Times New Roman" w:hAnsi="Times New Roman"/>
        </w:rPr>
      </w:pPr>
    </w:p>
    <w:p w:rsidR="003C50D0" w:rsidRPr="00247B2C" w:rsidRDefault="003C50D0" w:rsidP="0039253E">
      <w:pPr>
        <w:spacing w:before="15" w:after="0" w:line="240" w:lineRule="auto"/>
        <w:ind w:left="15"/>
        <w:rPr>
          <w:rFonts w:ascii="Times New Roman" w:eastAsia="Times New Roman" w:hAnsi="Times New Roman"/>
          <w:b/>
          <w:i/>
        </w:rPr>
      </w:pPr>
      <w:r w:rsidRPr="00247B2C">
        <w:rPr>
          <w:rFonts w:ascii="Times New Roman" w:hAnsi="Times New Roman"/>
          <w:b/>
        </w:rPr>
        <w:tab/>
      </w:r>
      <w:r w:rsidR="000C6FB8" w:rsidRPr="00247B2C">
        <w:rPr>
          <w:rFonts w:ascii="Times New Roman" w:hAnsi="Times New Roman"/>
          <w:b/>
          <w:i/>
        </w:rPr>
        <w:t xml:space="preserve">Main conclusions </w:t>
      </w:r>
      <w:r w:rsidRPr="00247B2C">
        <w:rPr>
          <w:rFonts w:ascii="Times New Roman" w:hAnsi="Times New Roman"/>
          <w:b/>
          <w:i/>
        </w:rPr>
        <w:t xml:space="preserve">and their </w:t>
      </w:r>
      <w:r w:rsidRPr="00247B2C">
        <w:rPr>
          <w:rFonts w:ascii="Times New Roman" w:eastAsia="Times New Roman" w:hAnsi="Times New Roman"/>
          <w:b/>
          <w:i/>
        </w:rPr>
        <w:t>potential impact and use</w:t>
      </w:r>
    </w:p>
    <w:p w:rsidR="00DA0AF7" w:rsidRPr="00247B2C" w:rsidRDefault="003F79E9" w:rsidP="001E45D3">
      <w:pPr>
        <w:spacing w:before="15" w:after="0" w:line="240" w:lineRule="auto"/>
        <w:ind w:left="15"/>
        <w:jc w:val="both"/>
        <w:rPr>
          <w:rFonts w:ascii="Times New Roman" w:hAnsi="Times New Roman"/>
        </w:rPr>
      </w:pPr>
      <w:r w:rsidRPr="00247B2C">
        <w:rPr>
          <w:rFonts w:ascii="Times New Roman" w:hAnsi="Times New Roman"/>
        </w:rPr>
        <w:tab/>
        <w:t xml:space="preserve">1. </w:t>
      </w:r>
      <w:r w:rsidRPr="00247B2C">
        <w:rPr>
          <w:rFonts w:ascii="Times New Roman" w:hAnsi="Times New Roman"/>
          <w:i/>
        </w:rPr>
        <w:t>Traditional understandings of the power of transit states vis-à-vis their</w:t>
      </w:r>
      <w:r w:rsidR="002264CF" w:rsidRPr="00247B2C">
        <w:rPr>
          <w:rFonts w:ascii="Times New Roman" w:hAnsi="Times New Roman"/>
          <w:i/>
        </w:rPr>
        <w:t xml:space="preserve"> suppliers need to be reassessed.</w:t>
      </w:r>
      <w:r w:rsidR="003768DC" w:rsidRPr="00247B2C">
        <w:rPr>
          <w:rFonts w:ascii="Times New Roman" w:hAnsi="Times New Roman"/>
        </w:rPr>
        <w:t xml:space="preserve"> </w:t>
      </w:r>
      <w:r w:rsidR="00DA0AF7" w:rsidRPr="00247B2C">
        <w:rPr>
          <w:rFonts w:ascii="Times New Roman" w:hAnsi="Times New Roman"/>
        </w:rPr>
        <w:t xml:space="preserve">If until now we have looked at transit-country infrastructure </w:t>
      </w:r>
      <w:r w:rsidR="001E45D3" w:rsidRPr="00247B2C">
        <w:rPr>
          <w:rFonts w:ascii="Times New Roman" w:hAnsi="Times New Roman"/>
        </w:rPr>
        <w:t>(</w:t>
      </w:r>
      <w:r w:rsidR="00DA0AF7" w:rsidRPr="00247B2C">
        <w:rPr>
          <w:rFonts w:ascii="Times New Roman" w:hAnsi="Times New Roman"/>
        </w:rPr>
        <w:t>such as oil and gas pipelines and underground gas storage deposits</w:t>
      </w:r>
      <w:r w:rsidR="001E45D3" w:rsidRPr="00247B2C">
        <w:rPr>
          <w:rFonts w:ascii="Times New Roman" w:hAnsi="Times New Roman"/>
        </w:rPr>
        <w:t>)</w:t>
      </w:r>
      <w:r w:rsidR="00DA0AF7" w:rsidRPr="00247B2C">
        <w:rPr>
          <w:rFonts w:ascii="Times New Roman" w:hAnsi="Times New Roman"/>
        </w:rPr>
        <w:t xml:space="preserve"> as important means of counter-pressure on the main supplier, this is not a complete picture. As became clear through numerous cases analyzed in this project, the actual value of transit infrastructure is largely conditioned by domest</w:t>
      </w:r>
      <w:r w:rsidR="001E45D3" w:rsidRPr="00247B2C">
        <w:rPr>
          <w:rFonts w:ascii="Times New Roman" w:hAnsi="Times New Roman"/>
        </w:rPr>
        <w:t>ic factors -- t</w:t>
      </w:r>
      <w:r w:rsidR="00DA0AF7" w:rsidRPr="00247B2C">
        <w:rPr>
          <w:rFonts w:ascii="Times New Roman" w:hAnsi="Times New Roman"/>
        </w:rPr>
        <w:t xml:space="preserve">o the extent that </w:t>
      </w:r>
      <w:r w:rsidR="00B91D42" w:rsidRPr="00247B2C">
        <w:rPr>
          <w:rFonts w:ascii="Times New Roman" w:hAnsi="Times New Roman"/>
        </w:rPr>
        <w:t>this infrastructure</w:t>
      </w:r>
      <w:r w:rsidR="00DA0AF7" w:rsidRPr="00247B2C">
        <w:rPr>
          <w:rFonts w:ascii="Times New Roman" w:hAnsi="Times New Roman"/>
        </w:rPr>
        <w:t xml:space="preserve"> become</w:t>
      </w:r>
      <w:r w:rsidR="00B91D42" w:rsidRPr="00247B2C">
        <w:rPr>
          <w:rFonts w:ascii="Times New Roman" w:hAnsi="Times New Roman"/>
        </w:rPr>
        <w:t>s</w:t>
      </w:r>
      <w:r w:rsidR="00DA0AF7" w:rsidRPr="00247B2C">
        <w:rPr>
          <w:rFonts w:ascii="Times New Roman" w:hAnsi="Times New Roman"/>
        </w:rPr>
        <w:t xml:space="preserve"> part of </w:t>
      </w:r>
      <w:r w:rsidR="00F96034" w:rsidRPr="00247B2C">
        <w:rPr>
          <w:rFonts w:ascii="Times New Roman" w:hAnsi="Times New Roman"/>
        </w:rPr>
        <w:t xml:space="preserve">(often corrupt) </w:t>
      </w:r>
      <w:r w:rsidR="001E45D3" w:rsidRPr="00247B2C">
        <w:rPr>
          <w:rFonts w:ascii="Times New Roman" w:hAnsi="Times New Roman"/>
        </w:rPr>
        <w:t>rent-seeking games</w:t>
      </w:r>
      <w:r w:rsidR="00DA0AF7" w:rsidRPr="00247B2C">
        <w:rPr>
          <w:rFonts w:ascii="Times New Roman" w:hAnsi="Times New Roman"/>
        </w:rPr>
        <w:t xml:space="preserve"> the more difficult it becomes to use them as a real and effective element of counter-power vis-a-vis the main suppliers.</w:t>
      </w:r>
    </w:p>
    <w:p w:rsidR="00790722" w:rsidRPr="00247B2C" w:rsidRDefault="00B91D42" w:rsidP="0039253E">
      <w:pPr>
        <w:spacing w:before="240" w:line="240" w:lineRule="auto"/>
        <w:jc w:val="both"/>
        <w:rPr>
          <w:rFonts w:ascii="Times New Roman" w:hAnsi="Times New Roman"/>
        </w:rPr>
      </w:pPr>
      <w:r w:rsidRPr="00247B2C">
        <w:rPr>
          <w:rFonts w:ascii="Times New Roman" w:hAnsi="Times New Roman"/>
        </w:rPr>
        <w:tab/>
        <w:t xml:space="preserve">2. </w:t>
      </w:r>
      <w:r w:rsidRPr="00247B2C">
        <w:rPr>
          <w:rFonts w:ascii="Times New Roman" w:hAnsi="Times New Roman"/>
          <w:i/>
        </w:rPr>
        <w:t xml:space="preserve">Contrary to the views propagated by most politicians in the energy-poor states, an overconcentration on </w:t>
      </w:r>
      <w:r w:rsidR="004E163E" w:rsidRPr="00247B2C">
        <w:rPr>
          <w:rFonts w:ascii="Times New Roman" w:hAnsi="Times New Roman"/>
          <w:i/>
        </w:rPr>
        <w:t xml:space="preserve">low energy prices as an absolute </w:t>
      </w:r>
      <w:r w:rsidR="001E45D3" w:rsidRPr="00247B2C">
        <w:rPr>
          <w:rFonts w:ascii="Times New Roman" w:hAnsi="Times New Roman"/>
          <w:i/>
        </w:rPr>
        <w:t xml:space="preserve">goal </w:t>
      </w:r>
      <w:r w:rsidR="004E163E" w:rsidRPr="00247B2C">
        <w:rPr>
          <w:rFonts w:ascii="Times New Roman" w:hAnsi="Times New Roman"/>
          <w:i/>
        </w:rPr>
        <w:t xml:space="preserve">was one of the biggest determinants of energy insecurity. </w:t>
      </w:r>
      <w:r w:rsidR="00790722" w:rsidRPr="00247B2C">
        <w:rPr>
          <w:rFonts w:ascii="Times New Roman" w:hAnsi="Times New Roman"/>
        </w:rPr>
        <w:t>In addition to</w:t>
      </w:r>
      <w:r w:rsidR="004E163E" w:rsidRPr="00247B2C">
        <w:rPr>
          <w:rFonts w:ascii="Times New Roman" w:hAnsi="Times New Roman"/>
        </w:rPr>
        <w:t xml:space="preserve"> reducing incentives for conservation</w:t>
      </w:r>
      <w:r w:rsidR="00F96034" w:rsidRPr="00247B2C">
        <w:rPr>
          <w:rFonts w:ascii="Times New Roman" w:hAnsi="Times New Roman"/>
        </w:rPr>
        <w:t xml:space="preserve"> and domestic production</w:t>
      </w:r>
      <w:r w:rsidR="004E163E" w:rsidRPr="00247B2C">
        <w:rPr>
          <w:rFonts w:ascii="Times New Roman" w:hAnsi="Times New Roman"/>
        </w:rPr>
        <w:t xml:space="preserve">, prices too low to cover the cost of imports and network maintenance deprived energy companies of the funds needed to maintain </w:t>
      </w:r>
      <w:r w:rsidR="001E45D3" w:rsidRPr="00247B2C">
        <w:rPr>
          <w:rFonts w:ascii="Times New Roman" w:hAnsi="Times New Roman"/>
        </w:rPr>
        <w:t>energy</w:t>
      </w:r>
      <w:r w:rsidR="004E163E" w:rsidRPr="00247B2C">
        <w:rPr>
          <w:rFonts w:ascii="Times New Roman" w:hAnsi="Times New Roman"/>
        </w:rPr>
        <w:t xml:space="preserve"> transit systems. At the level of imports,</w:t>
      </w:r>
      <w:r w:rsidR="001E45D3" w:rsidRPr="00247B2C">
        <w:rPr>
          <w:rFonts w:ascii="Times New Roman" w:hAnsi="Times New Roman"/>
          <w:i/>
        </w:rPr>
        <w:t xml:space="preserve"> </w:t>
      </w:r>
      <w:r w:rsidR="001E45D3" w:rsidRPr="00247B2C">
        <w:rPr>
          <w:rFonts w:ascii="Times New Roman" w:hAnsi="Times New Roman"/>
        </w:rPr>
        <w:t xml:space="preserve">as seem most clearly in the case of Ukraine, </w:t>
      </w:r>
      <w:r w:rsidR="004E163E" w:rsidRPr="00247B2C">
        <w:rPr>
          <w:rFonts w:ascii="Times New Roman" w:hAnsi="Times New Roman"/>
        </w:rPr>
        <w:t xml:space="preserve">the over-concentration on low prices provided fertile ground for non-transparent deals, </w:t>
      </w:r>
      <w:r w:rsidR="001E45D3" w:rsidRPr="00247B2C">
        <w:rPr>
          <w:rFonts w:ascii="Times New Roman" w:hAnsi="Times New Roman"/>
        </w:rPr>
        <w:t xml:space="preserve">as it helped justify </w:t>
      </w:r>
      <w:r w:rsidR="00F96034" w:rsidRPr="00247B2C">
        <w:rPr>
          <w:rFonts w:ascii="Times New Roman" w:hAnsi="Times New Roman"/>
        </w:rPr>
        <w:t xml:space="preserve"> special </w:t>
      </w:r>
      <w:r w:rsidR="004E163E" w:rsidRPr="00247B2C">
        <w:rPr>
          <w:rFonts w:ascii="Times New Roman" w:hAnsi="Times New Roman"/>
        </w:rPr>
        <w:t>privileges given intermediary companies,</w:t>
      </w:r>
      <w:r w:rsidR="004E163E" w:rsidRPr="00247B2C">
        <w:rPr>
          <w:rStyle w:val="EndnoteReference"/>
          <w:rFonts w:ascii="Times New Roman" w:eastAsia="Courier New" w:hAnsi="Times New Roman"/>
        </w:rPr>
        <w:t xml:space="preserve"> </w:t>
      </w:r>
      <w:r w:rsidR="004E163E" w:rsidRPr="00247B2C">
        <w:rPr>
          <w:rFonts w:ascii="Times New Roman" w:hAnsi="Times New Roman"/>
        </w:rPr>
        <w:t xml:space="preserve">which were often able to offer “lower” </w:t>
      </w:r>
      <w:r w:rsidR="004E163E" w:rsidRPr="00247B2C">
        <w:rPr>
          <w:rFonts w:ascii="Times New Roman" w:hAnsi="Times New Roman"/>
        </w:rPr>
        <w:lastRenderedPageBreak/>
        <w:t>energy import prices by, de facto, siphoning the profit of the state and state companies and distributing the difference between themselves and the importers.</w:t>
      </w:r>
    </w:p>
    <w:p w:rsidR="00790722" w:rsidRPr="00247B2C" w:rsidRDefault="00790722" w:rsidP="0039253E">
      <w:pPr>
        <w:spacing w:after="0" w:line="240" w:lineRule="auto"/>
        <w:ind w:firstLine="720"/>
        <w:jc w:val="both"/>
        <w:rPr>
          <w:rFonts w:ascii="Times New Roman" w:eastAsia="Times New Roman" w:hAnsi="Times New Roman"/>
        </w:rPr>
      </w:pPr>
      <w:r w:rsidRPr="00247B2C">
        <w:rPr>
          <w:rFonts w:ascii="Times New Roman" w:hAnsi="Times New Roman"/>
        </w:rPr>
        <w:t xml:space="preserve">3. </w:t>
      </w:r>
      <w:r w:rsidR="00CE1E8E" w:rsidRPr="00247B2C">
        <w:rPr>
          <w:rFonts w:ascii="Times New Roman" w:eastAsia="Times New Roman" w:hAnsi="Times New Roman"/>
          <w:i/>
        </w:rPr>
        <w:t xml:space="preserve">Important aspects </w:t>
      </w:r>
      <w:r w:rsidR="001E45D3" w:rsidRPr="00247B2C">
        <w:rPr>
          <w:rFonts w:ascii="Times New Roman" w:eastAsia="Times New Roman" w:hAnsi="Times New Roman"/>
          <w:i/>
        </w:rPr>
        <w:t>of</w:t>
      </w:r>
      <w:r w:rsidRPr="00247B2C">
        <w:rPr>
          <w:rFonts w:ascii="Times New Roman" w:eastAsia="Times New Roman" w:hAnsi="Times New Roman"/>
          <w:i/>
        </w:rPr>
        <w:t xml:space="preserve"> post-Soviet energy supply crises</w:t>
      </w:r>
      <w:r w:rsidR="00F96034" w:rsidRPr="00247B2C">
        <w:rPr>
          <w:rFonts w:ascii="Times New Roman" w:eastAsia="Times New Roman" w:hAnsi="Times New Roman"/>
          <w:i/>
        </w:rPr>
        <w:t xml:space="preserve"> involving Russia and the transit states</w:t>
      </w:r>
      <w:r w:rsidR="00CE1E8E" w:rsidRPr="00247B2C">
        <w:rPr>
          <w:rFonts w:ascii="Times New Roman" w:eastAsia="Times New Roman" w:hAnsi="Times New Roman"/>
          <w:i/>
        </w:rPr>
        <w:t xml:space="preserve"> (2006, 2009</w:t>
      </w:r>
      <w:r w:rsidR="001E45D3" w:rsidRPr="00247B2C">
        <w:rPr>
          <w:rFonts w:ascii="Times New Roman" w:eastAsia="Times New Roman" w:hAnsi="Times New Roman"/>
          <w:i/>
        </w:rPr>
        <w:t xml:space="preserve"> supply interruptions</w:t>
      </w:r>
      <w:r w:rsidR="00CE1E8E" w:rsidRPr="00247B2C">
        <w:rPr>
          <w:rFonts w:ascii="Times New Roman" w:eastAsia="Times New Roman" w:hAnsi="Times New Roman"/>
          <w:i/>
        </w:rPr>
        <w:t>)</w:t>
      </w:r>
      <w:r w:rsidR="00F96034" w:rsidRPr="00247B2C">
        <w:rPr>
          <w:rFonts w:ascii="Times New Roman" w:eastAsia="Times New Roman" w:hAnsi="Times New Roman"/>
          <w:i/>
        </w:rPr>
        <w:t xml:space="preserve"> </w:t>
      </w:r>
      <w:r w:rsidRPr="00247B2C">
        <w:rPr>
          <w:rFonts w:ascii="Times New Roman" w:eastAsia="Times New Roman" w:hAnsi="Times New Roman"/>
          <w:i/>
        </w:rPr>
        <w:t xml:space="preserve">were not (or, at least, not only) the result of inexorable contradictions in the energy interests of </w:t>
      </w:r>
      <w:r w:rsidR="001E45D3" w:rsidRPr="00247B2C">
        <w:rPr>
          <w:rFonts w:ascii="Times New Roman" w:eastAsia="Times New Roman" w:hAnsi="Times New Roman"/>
          <w:i/>
        </w:rPr>
        <w:t>both sides</w:t>
      </w:r>
      <w:r w:rsidRPr="00247B2C">
        <w:rPr>
          <w:rFonts w:ascii="Times New Roman" w:eastAsia="Times New Roman" w:hAnsi="Times New Roman"/>
          <w:i/>
        </w:rPr>
        <w:t xml:space="preserve">, but of intentional actions such as the creation of “artificial scarcities” </w:t>
      </w:r>
      <w:r w:rsidRPr="00247B2C">
        <w:rPr>
          <w:rFonts w:ascii="Times New Roman" w:eastAsia="Times New Roman" w:hAnsi="Times New Roman"/>
        </w:rPr>
        <w:t>by various participants in the energy process. The actual manifestation of such creation of artificial scarcities depende</w:t>
      </w:r>
      <w:r w:rsidR="00CE1E8E" w:rsidRPr="00247B2C">
        <w:rPr>
          <w:rFonts w:ascii="Times New Roman" w:eastAsia="Times New Roman" w:hAnsi="Times New Roman"/>
        </w:rPr>
        <w:t>d on the time period and circums</w:t>
      </w:r>
      <w:r w:rsidR="005C5C1F" w:rsidRPr="00247B2C">
        <w:rPr>
          <w:rFonts w:ascii="Times New Roman" w:eastAsia="Times New Roman" w:hAnsi="Times New Roman"/>
        </w:rPr>
        <w:t xml:space="preserve">tances: </w:t>
      </w:r>
      <w:r w:rsidR="001E45D3" w:rsidRPr="00247B2C">
        <w:rPr>
          <w:rFonts w:ascii="Times New Roman" w:eastAsia="Times New Roman" w:hAnsi="Times New Roman"/>
        </w:rPr>
        <w:t>i</w:t>
      </w:r>
      <w:r w:rsidRPr="00247B2C">
        <w:rPr>
          <w:rFonts w:ascii="Times New Roman" w:eastAsia="Times New Roman" w:hAnsi="Times New Roman"/>
        </w:rPr>
        <w:t>n some cases, it took place through the manipulation of existing institutions or the creation of new, often corrupt ones (such as some types of intermediary companies), with the specific purpose of creating rent-seeking opportunities (most often at the expense of the state and tax-payers) in benefit of well-situated groups. In other cases, this took the form of an artificial heightening of the stakes in the energy discussions, as a way of politicizing the issue for public relations and preemptive pressure purposes.</w:t>
      </w:r>
    </w:p>
    <w:p w:rsidR="0039253E" w:rsidRPr="00247B2C" w:rsidRDefault="0039253E" w:rsidP="0039253E">
      <w:pPr>
        <w:spacing w:after="0" w:line="240" w:lineRule="auto"/>
        <w:ind w:firstLine="720"/>
        <w:jc w:val="both"/>
        <w:rPr>
          <w:rFonts w:ascii="Times New Roman" w:eastAsia="Times New Roman" w:hAnsi="Times New Roman"/>
          <w:i/>
        </w:rPr>
      </w:pPr>
    </w:p>
    <w:p w:rsidR="00C35E5C" w:rsidRPr="00247B2C" w:rsidRDefault="00201652" w:rsidP="00C35E5C">
      <w:pPr>
        <w:spacing w:after="0" w:line="240" w:lineRule="auto"/>
        <w:ind w:firstLine="720"/>
        <w:jc w:val="both"/>
        <w:rPr>
          <w:rFonts w:ascii="Times New Roman" w:hAnsi="Times New Roman"/>
        </w:rPr>
      </w:pPr>
      <w:r w:rsidRPr="00247B2C">
        <w:rPr>
          <w:rFonts w:ascii="Times New Roman" w:eastAsia="Times New Roman" w:hAnsi="Times New Roman"/>
        </w:rPr>
        <w:t xml:space="preserve">5. </w:t>
      </w:r>
      <w:r w:rsidR="00790722" w:rsidRPr="00247B2C">
        <w:rPr>
          <w:rFonts w:ascii="Times New Roman" w:eastAsia="Times New Roman" w:hAnsi="Times New Roman"/>
          <w:i/>
        </w:rPr>
        <w:t>Gazprom’s</w:t>
      </w:r>
      <w:r w:rsidR="005C5C1F" w:rsidRPr="00247B2C">
        <w:rPr>
          <w:rFonts w:ascii="Times New Roman" w:eastAsia="Times New Roman" w:hAnsi="Times New Roman"/>
          <w:i/>
        </w:rPr>
        <w:t xml:space="preserve"> monopoly role in Russia itself </w:t>
      </w:r>
      <w:r w:rsidR="00E22955" w:rsidRPr="00247B2C">
        <w:rPr>
          <w:rFonts w:ascii="Times New Roman" w:eastAsia="Times New Roman" w:hAnsi="Times New Roman"/>
          <w:i/>
        </w:rPr>
        <w:t>foster</w:t>
      </w:r>
      <w:r w:rsidR="001E45D3" w:rsidRPr="00247B2C">
        <w:rPr>
          <w:rFonts w:ascii="Times New Roman" w:eastAsia="Times New Roman" w:hAnsi="Times New Roman"/>
          <w:i/>
        </w:rPr>
        <w:t>ed</w:t>
      </w:r>
      <w:r w:rsidR="00E22955" w:rsidRPr="00247B2C">
        <w:rPr>
          <w:rFonts w:ascii="Times New Roman" w:eastAsia="Times New Roman" w:hAnsi="Times New Roman"/>
          <w:i/>
        </w:rPr>
        <w:t xml:space="preserve"> </w:t>
      </w:r>
      <w:r w:rsidR="00790722" w:rsidRPr="00247B2C">
        <w:rPr>
          <w:rFonts w:ascii="Times New Roman" w:eastAsia="Times New Roman" w:hAnsi="Times New Roman"/>
          <w:i/>
        </w:rPr>
        <w:t>the creation of “artificial scarcities” in energy relations with the post-Soviet states</w:t>
      </w:r>
      <w:r w:rsidR="001E45D3" w:rsidRPr="00247B2C">
        <w:rPr>
          <w:rFonts w:ascii="Times New Roman" w:eastAsia="Times New Roman" w:hAnsi="Times New Roman"/>
        </w:rPr>
        <w:t xml:space="preserve">, </w:t>
      </w:r>
      <w:r w:rsidR="00511A96" w:rsidRPr="00247B2C">
        <w:rPr>
          <w:rFonts w:ascii="Times New Roman" w:hAnsi="Times New Roman"/>
        </w:rPr>
        <w:t xml:space="preserve">and for corrupt ways of “solving” them. </w:t>
      </w:r>
      <w:r w:rsidR="001E45D3" w:rsidRPr="00247B2C">
        <w:rPr>
          <w:rFonts w:ascii="Times New Roman" w:hAnsi="Times New Roman"/>
        </w:rPr>
        <w:t>I</w:t>
      </w:r>
      <w:r w:rsidR="00511A96" w:rsidRPr="00247B2C">
        <w:rPr>
          <w:rFonts w:ascii="Times New Roman" w:hAnsi="Times New Roman"/>
        </w:rPr>
        <w:t>t was exactly this monopoly role which gave Gazprom (or, more likely, influential players within it) the ability to sway actors in the energy-dependent states into accepting intermediary companies</w:t>
      </w:r>
      <w:r w:rsidR="001E45D3" w:rsidRPr="00247B2C">
        <w:rPr>
          <w:rFonts w:ascii="Times New Roman" w:hAnsi="Times New Roman"/>
        </w:rPr>
        <w:t xml:space="preserve"> presenting themselves as sources of diversification away from Gazprom’s monopoly</w:t>
      </w:r>
      <w:r w:rsidR="00511A96" w:rsidRPr="00247B2C">
        <w:rPr>
          <w:rFonts w:ascii="Times New Roman" w:hAnsi="Times New Roman"/>
        </w:rPr>
        <w:t xml:space="preserve">.  In other words, the monopoly and gate-keeping powers held by Gazprom as a corporation gave individual actors within it the perfect conditions to create artificial scarcities that could then be turned into </w:t>
      </w:r>
      <w:r w:rsidR="00C35E5C" w:rsidRPr="00247B2C">
        <w:rPr>
          <w:rFonts w:ascii="Times New Roman" w:hAnsi="Times New Roman"/>
        </w:rPr>
        <w:t xml:space="preserve">(potentially corrupt) </w:t>
      </w:r>
      <w:r w:rsidR="00511A96" w:rsidRPr="00247B2C">
        <w:rPr>
          <w:rFonts w:ascii="Times New Roman" w:hAnsi="Times New Roman"/>
        </w:rPr>
        <w:t xml:space="preserve">rent-seeking opportunities. </w:t>
      </w:r>
    </w:p>
    <w:p w:rsidR="00C35E5C" w:rsidRPr="00247B2C" w:rsidRDefault="00C35E5C" w:rsidP="00C35E5C">
      <w:pPr>
        <w:spacing w:after="0" w:line="240" w:lineRule="auto"/>
        <w:ind w:firstLine="720"/>
        <w:jc w:val="both"/>
        <w:rPr>
          <w:rFonts w:ascii="Times New Roman" w:hAnsi="Times New Roman"/>
        </w:rPr>
      </w:pPr>
    </w:p>
    <w:p w:rsidR="00790722" w:rsidRPr="00247B2C" w:rsidRDefault="00C35E5C" w:rsidP="00C35E5C">
      <w:pPr>
        <w:spacing w:after="0" w:line="240" w:lineRule="auto"/>
        <w:ind w:firstLine="720"/>
        <w:jc w:val="both"/>
        <w:rPr>
          <w:rFonts w:ascii="Times New Roman" w:hAnsi="Times New Roman"/>
        </w:rPr>
      </w:pPr>
      <w:r w:rsidRPr="00247B2C">
        <w:rPr>
          <w:rFonts w:ascii="Times New Roman" w:eastAsia="Times New Roman" w:hAnsi="Times New Roman"/>
        </w:rPr>
        <w:t>6</w:t>
      </w:r>
      <w:r w:rsidR="005B7266" w:rsidRPr="00247B2C">
        <w:rPr>
          <w:rFonts w:ascii="Times New Roman" w:eastAsia="Times New Roman" w:hAnsi="Times New Roman"/>
        </w:rPr>
        <w:t>. As seen in the c</w:t>
      </w:r>
      <w:r w:rsidR="00812CCA" w:rsidRPr="00247B2C">
        <w:rPr>
          <w:rFonts w:ascii="Times New Roman" w:eastAsia="Times New Roman" w:hAnsi="Times New Roman"/>
        </w:rPr>
        <w:t>ase of Moldova and Transni</w:t>
      </w:r>
      <w:r w:rsidR="00987006" w:rsidRPr="00247B2C">
        <w:rPr>
          <w:rFonts w:ascii="Times New Roman" w:eastAsia="Times New Roman" w:hAnsi="Times New Roman"/>
        </w:rPr>
        <w:t>s</w:t>
      </w:r>
      <w:r w:rsidR="00812CCA" w:rsidRPr="00247B2C">
        <w:rPr>
          <w:rFonts w:ascii="Times New Roman" w:eastAsia="Times New Roman" w:hAnsi="Times New Roman"/>
        </w:rPr>
        <w:t>tria,</w:t>
      </w:r>
      <w:r w:rsidR="005B7266" w:rsidRPr="00247B2C">
        <w:rPr>
          <w:rFonts w:ascii="Times New Roman" w:eastAsia="Times New Roman" w:hAnsi="Times New Roman"/>
        </w:rPr>
        <w:t xml:space="preserve"> </w:t>
      </w:r>
      <w:r w:rsidR="005B7266" w:rsidRPr="00247B2C">
        <w:rPr>
          <w:rFonts w:ascii="Times New Roman" w:eastAsia="Times New Roman" w:hAnsi="Times New Roman"/>
          <w:i/>
        </w:rPr>
        <w:t>conflicts started as purely ethnic or separatist ones</w:t>
      </w:r>
      <w:r w:rsidR="00714A56" w:rsidRPr="00247B2C">
        <w:rPr>
          <w:rFonts w:ascii="Times New Roman" w:eastAsia="Times New Roman" w:hAnsi="Times New Roman"/>
          <w:i/>
        </w:rPr>
        <w:t xml:space="preserve"> can become further entrenched</w:t>
      </w:r>
      <w:r w:rsidR="00812CCA" w:rsidRPr="00247B2C">
        <w:rPr>
          <w:rFonts w:ascii="Times New Roman" w:eastAsia="Times New Roman" w:hAnsi="Times New Roman"/>
          <w:i/>
        </w:rPr>
        <w:t xml:space="preserve"> once they provide elites the possibilities for control of important energy-related </w:t>
      </w:r>
      <w:r w:rsidRPr="00247B2C">
        <w:rPr>
          <w:rFonts w:ascii="Times New Roman" w:eastAsia="Times New Roman" w:hAnsi="Times New Roman"/>
          <w:i/>
        </w:rPr>
        <w:t>rents</w:t>
      </w:r>
      <w:r w:rsidRPr="00247B2C">
        <w:rPr>
          <w:rFonts w:ascii="Times New Roman" w:eastAsia="Times New Roman" w:hAnsi="Times New Roman"/>
        </w:rPr>
        <w:t xml:space="preserve">, making </w:t>
      </w:r>
      <w:r w:rsidR="001C2504" w:rsidRPr="00247B2C">
        <w:rPr>
          <w:rFonts w:ascii="Times New Roman" w:eastAsia="Times New Roman" w:hAnsi="Times New Roman"/>
        </w:rPr>
        <w:t>support of transparency and anti-corruption measures important not only from a political but also a conflict-prevention perspective.</w:t>
      </w:r>
    </w:p>
    <w:p w:rsidR="00790722" w:rsidRPr="00247B2C" w:rsidRDefault="0039253E" w:rsidP="0039253E">
      <w:pPr>
        <w:spacing w:before="15" w:after="0" w:line="240" w:lineRule="auto"/>
        <w:ind w:left="15"/>
        <w:rPr>
          <w:rFonts w:ascii="Times New Roman" w:eastAsia="Times New Roman" w:hAnsi="Times New Roman"/>
        </w:rPr>
      </w:pPr>
      <w:r w:rsidRPr="00247B2C">
        <w:rPr>
          <w:rFonts w:ascii="Times New Roman" w:eastAsia="Times New Roman" w:hAnsi="Times New Roman"/>
        </w:rPr>
        <w:tab/>
      </w:r>
    </w:p>
    <w:p w:rsidR="0039253E" w:rsidRPr="00247B2C" w:rsidRDefault="0039253E" w:rsidP="0039253E">
      <w:pPr>
        <w:spacing w:before="15" w:after="0" w:line="240" w:lineRule="auto"/>
        <w:ind w:left="15"/>
        <w:rPr>
          <w:rFonts w:ascii="Times New Roman" w:eastAsia="Times New Roman" w:hAnsi="Times New Roman"/>
          <w:b/>
          <w:i/>
        </w:rPr>
      </w:pPr>
      <w:r w:rsidRPr="00247B2C">
        <w:rPr>
          <w:rFonts w:ascii="Times New Roman" w:eastAsia="Times New Roman" w:hAnsi="Times New Roman"/>
        </w:rPr>
        <w:tab/>
      </w:r>
      <w:r w:rsidRPr="00247B2C">
        <w:rPr>
          <w:rFonts w:ascii="Times New Roman" w:eastAsia="Times New Roman" w:hAnsi="Times New Roman"/>
          <w:b/>
          <w:i/>
        </w:rPr>
        <w:t>Potential impact and use of conclusions, and further scientific impacts expected</w:t>
      </w:r>
    </w:p>
    <w:p w:rsidR="0039253E" w:rsidRPr="00247B2C" w:rsidRDefault="00987006" w:rsidP="0039253E">
      <w:pPr>
        <w:spacing w:before="15" w:after="0" w:line="240" w:lineRule="auto"/>
        <w:ind w:left="15"/>
        <w:jc w:val="both"/>
        <w:rPr>
          <w:rFonts w:ascii="Times New Roman" w:hAnsi="Times New Roman"/>
        </w:rPr>
      </w:pPr>
      <w:r w:rsidRPr="00247B2C">
        <w:rPr>
          <w:rFonts w:ascii="Times New Roman" w:hAnsi="Times New Roman"/>
        </w:rPr>
        <w:tab/>
        <w:t>These conclusions are of obvious relevance for policy-makers involved in the post-Soviet region, both in the foreign-policy front</w:t>
      </w:r>
      <w:r w:rsidR="00C35E5C" w:rsidRPr="00247B2C">
        <w:rPr>
          <w:rFonts w:ascii="Times New Roman" w:hAnsi="Times New Roman"/>
        </w:rPr>
        <w:t>,</w:t>
      </w:r>
      <w:r w:rsidRPr="00247B2C">
        <w:rPr>
          <w:rFonts w:ascii="Times New Roman" w:hAnsi="Times New Roman"/>
          <w:b/>
        </w:rPr>
        <w:t xml:space="preserve"> </w:t>
      </w:r>
      <w:r w:rsidRPr="00247B2C">
        <w:rPr>
          <w:rFonts w:ascii="Times New Roman" w:hAnsi="Times New Roman"/>
        </w:rPr>
        <w:t>but also as related to financial assis</w:t>
      </w:r>
      <w:r w:rsidR="00C35E5C" w:rsidRPr="00247B2C">
        <w:rPr>
          <w:rFonts w:ascii="Times New Roman" w:hAnsi="Times New Roman"/>
        </w:rPr>
        <w:t xml:space="preserve">tance programs (IMF, WB, EBRD) </w:t>
      </w:r>
      <w:r w:rsidRPr="00247B2C">
        <w:rPr>
          <w:rFonts w:ascii="Times New Roman" w:hAnsi="Times New Roman"/>
        </w:rPr>
        <w:t>and civil society development, as well as to the business sec</w:t>
      </w:r>
      <w:r w:rsidR="00C35E5C" w:rsidRPr="00247B2C">
        <w:rPr>
          <w:rFonts w:ascii="Times New Roman" w:hAnsi="Times New Roman"/>
        </w:rPr>
        <w:t>tor. In addition, they tell us much about the type</w:t>
      </w:r>
      <w:r w:rsidRPr="00247B2C">
        <w:rPr>
          <w:rFonts w:ascii="Times New Roman" w:hAnsi="Times New Roman"/>
        </w:rPr>
        <w:t xml:space="preserve"> of further research needed on the issue. In particular, additional, interdisciplinary research is needed on the </w:t>
      </w:r>
      <w:r w:rsidRPr="00247B2C">
        <w:rPr>
          <w:rFonts w:ascii="Times New Roman" w:hAnsi="Times New Roman"/>
          <w:i/>
        </w:rPr>
        <w:t>distinct value-added chains</w:t>
      </w:r>
      <w:r w:rsidR="00C35E5C" w:rsidRPr="00247B2C">
        <w:rPr>
          <w:rFonts w:ascii="Times New Roman" w:hAnsi="Times New Roman"/>
        </w:rPr>
        <w:t>, -- as well as their related arbitrage-gains--</w:t>
      </w:r>
      <w:r w:rsidRPr="00247B2C">
        <w:rPr>
          <w:rFonts w:ascii="Times New Roman" w:hAnsi="Times New Roman"/>
        </w:rPr>
        <w:t xml:space="preserve"> implied by oil, gas, and other energy proc</w:t>
      </w:r>
      <w:r w:rsidR="00C35E5C" w:rsidRPr="00247B2C">
        <w:rPr>
          <w:rFonts w:ascii="Times New Roman" w:hAnsi="Times New Roman"/>
        </w:rPr>
        <w:t>esses in the region, and how they affect</w:t>
      </w:r>
      <w:r w:rsidRPr="00247B2C">
        <w:rPr>
          <w:rFonts w:ascii="Times New Roman" w:hAnsi="Times New Roman"/>
        </w:rPr>
        <w:t xml:space="preserve"> energy interactions and transit in the post-Soviet region.</w:t>
      </w:r>
    </w:p>
    <w:p w:rsidR="0039253E" w:rsidRPr="00247B2C" w:rsidRDefault="0039253E" w:rsidP="0039253E">
      <w:pPr>
        <w:spacing w:before="15" w:after="0" w:line="240" w:lineRule="auto"/>
        <w:ind w:left="15"/>
        <w:jc w:val="both"/>
        <w:rPr>
          <w:rFonts w:ascii="Times New Roman" w:hAnsi="Times New Roman"/>
        </w:rPr>
      </w:pPr>
    </w:p>
    <w:p w:rsidR="0039253E" w:rsidRPr="00247B2C" w:rsidRDefault="0039253E" w:rsidP="0039253E">
      <w:pPr>
        <w:spacing w:before="15" w:after="0" w:line="240" w:lineRule="auto"/>
        <w:ind w:left="15" w:firstLine="705"/>
        <w:jc w:val="both"/>
        <w:rPr>
          <w:rFonts w:ascii="Times New Roman" w:hAnsi="Times New Roman"/>
        </w:rPr>
      </w:pPr>
      <w:r w:rsidRPr="00247B2C">
        <w:rPr>
          <w:rFonts w:ascii="Times New Roman" w:hAnsi="Times New Roman"/>
        </w:rPr>
        <w:t>In order to answer these further questions, the Fellow has established contacts with four research centers in the EU that could be appropriate partners for follow-up projects. One follow up project application has been submitted, in collabo</w:t>
      </w:r>
      <w:r w:rsidR="00C35E5C" w:rsidRPr="00247B2C">
        <w:rPr>
          <w:rFonts w:ascii="Times New Roman" w:hAnsi="Times New Roman"/>
        </w:rPr>
        <w:t>ration with project host institution Aleksanteri Institu</w:t>
      </w:r>
      <w:r w:rsidRPr="00247B2C">
        <w:rPr>
          <w:rFonts w:ascii="Times New Roman" w:hAnsi="Times New Roman"/>
        </w:rPr>
        <w:t xml:space="preserve">te, </w:t>
      </w:r>
      <w:r w:rsidR="00C35E5C" w:rsidRPr="00247B2C">
        <w:rPr>
          <w:rFonts w:ascii="Times New Roman" w:hAnsi="Times New Roman"/>
        </w:rPr>
        <w:t>to the Academy of Finland; a further project</w:t>
      </w:r>
      <w:r w:rsidRPr="00247B2C">
        <w:rPr>
          <w:rFonts w:ascii="Times New Roman" w:hAnsi="Times New Roman"/>
        </w:rPr>
        <w:t xml:space="preserve"> to the European Research Council is </w:t>
      </w:r>
      <w:r w:rsidR="00C35E5C" w:rsidRPr="00247B2C">
        <w:rPr>
          <w:rFonts w:ascii="Times New Roman" w:hAnsi="Times New Roman"/>
        </w:rPr>
        <w:t>likely to be submitted by 2015.</w:t>
      </w:r>
    </w:p>
    <w:p w:rsidR="0039253E" w:rsidRPr="00247B2C" w:rsidRDefault="0039253E" w:rsidP="0039253E">
      <w:pPr>
        <w:spacing w:before="15" w:after="0" w:line="240" w:lineRule="auto"/>
        <w:ind w:left="15" w:firstLine="705"/>
        <w:jc w:val="both"/>
        <w:rPr>
          <w:rFonts w:ascii="Times New Roman" w:hAnsi="Times New Roman"/>
        </w:rPr>
      </w:pPr>
    </w:p>
    <w:p w:rsidR="00CD422E" w:rsidRPr="00247B2C" w:rsidRDefault="00CD422E" w:rsidP="0039253E">
      <w:pPr>
        <w:spacing w:after="0" w:line="240" w:lineRule="auto"/>
        <w:rPr>
          <w:rFonts w:ascii="Times New Roman" w:eastAsia="Times New Roman" w:hAnsi="Times New Roman"/>
        </w:rPr>
      </w:pPr>
      <w:r w:rsidRPr="00247B2C">
        <w:rPr>
          <w:rFonts w:ascii="Times New Roman" w:eastAsia="Times New Roman" w:hAnsi="Times New Roman"/>
        </w:rPr>
        <w:t>Contact details:</w:t>
      </w:r>
      <w:r w:rsidRPr="00247B2C">
        <w:rPr>
          <w:rFonts w:ascii="Times New Roman" w:eastAsia="Times New Roman" w:hAnsi="Times New Roman"/>
        </w:rPr>
        <w:br/>
        <w:t>Prof. Margarita M. Balmaceda, PhD</w:t>
      </w:r>
    </w:p>
    <w:p w:rsidR="00CD422E" w:rsidRPr="00247B2C" w:rsidRDefault="00CD422E" w:rsidP="0039253E">
      <w:pPr>
        <w:spacing w:after="0" w:line="240" w:lineRule="auto"/>
        <w:rPr>
          <w:rFonts w:ascii="Times New Roman" w:eastAsia="Times New Roman" w:hAnsi="Times New Roman"/>
        </w:rPr>
      </w:pPr>
      <w:r w:rsidRPr="00247B2C">
        <w:rPr>
          <w:rFonts w:ascii="Times New Roman" w:eastAsia="Times New Roman" w:hAnsi="Times New Roman"/>
        </w:rPr>
        <w:t>Associate, Harvard Ukrainian Research Insitute</w:t>
      </w:r>
    </w:p>
    <w:p w:rsidR="00CD422E" w:rsidRPr="00247B2C" w:rsidRDefault="00CD422E" w:rsidP="0039253E">
      <w:pPr>
        <w:spacing w:after="0" w:line="240" w:lineRule="auto"/>
        <w:rPr>
          <w:rFonts w:ascii="Times New Roman" w:eastAsia="Times New Roman" w:hAnsi="Times New Roman"/>
        </w:rPr>
      </w:pPr>
      <w:r w:rsidRPr="00247B2C">
        <w:rPr>
          <w:rFonts w:ascii="Times New Roman" w:eastAsia="Times New Roman" w:hAnsi="Times New Roman"/>
        </w:rPr>
        <w:t>34 Kirkland St.</w:t>
      </w:r>
    </w:p>
    <w:p w:rsidR="0039253E" w:rsidRPr="00247B2C" w:rsidRDefault="00CD422E" w:rsidP="0039253E">
      <w:pPr>
        <w:spacing w:line="240" w:lineRule="auto"/>
        <w:rPr>
          <w:rFonts w:ascii="Times New Roman" w:eastAsia="Times New Roman" w:hAnsi="Times New Roman"/>
        </w:rPr>
      </w:pPr>
      <w:r w:rsidRPr="00247B2C">
        <w:rPr>
          <w:rFonts w:ascii="Times New Roman" w:eastAsia="Times New Roman" w:hAnsi="Times New Roman"/>
        </w:rPr>
        <w:t>Cambridge, MA, USA</w:t>
      </w:r>
    </w:p>
    <w:p w:rsidR="00CD422E" w:rsidRPr="00247B2C" w:rsidRDefault="00CD422E" w:rsidP="0039253E">
      <w:pPr>
        <w:spacing w:line="240" w:lineRule="auto"/>
        <w:rPr>
          <w:rFonts w:ascii="Times New Roman" w:eastAsia="Times New Roman" w:hAnsi="Times New Roman"/>
        </w:rPr>
      </w:pPr>
      <w:r w:rsidRPr="00247B2C">
        <w:rPr>
          <w:rFonts w:ascii="Times New Roman" w:eastAsia="Times New Roman" w:hAnsi="Times New Roman"/>
        </w:rPr>
        <w:t>e-mail: balmaced@fas.harvard.edu</w:t>
      </w:r>
    </w:p>
    <w:p w:rsidR="00CD422E" w:rsidRPr="00247B2C" w:rsidRDefault="00CD422E" w:rsidP="00724970">
      <w:pPr>
        <w:rPr>
          <w:rFonts w:ascii="Times New Roman" w:eastAsia="Times New Roman" w:hAnsi="Times New Roman"/>
        </w:rPr>
      </w:pPr>
    </w:p>
    <w:sectPr w:rsidR="00CD422E" w:rsidRPr="00247B2C" w:rsidSect="00C6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B2" w:rsidRDefault="000551B2" w:rsidP="004E163E">
      <w:pPr>
        <w:spacing w:after="0" w:line="240" w:lineRule="auto"/>
      </w:pPr>
      <w:r>
        <w:separator/>
      </w:r>
    </w:p>
  </w:endnote>
  <w:endnote w:type="continuationSeparator" w:id="0">
    <w:p w:rsidR="000551B2" w:rsidRDefault="000551B2" w:rsidP="004E1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B2" w:rsidRDefault="000551B2" w:rsidP="004E163E">
      <w:pPr>
        <w:spacing w:after="0" w:line="240" w:lineRule="auto"/>
      </w:pPr>
      <w:r>
        <w:separator/>
      </w:r>
    </w:p>
  </w:footnote>
  <w:footnote w:type="continuationSeparator" w:id="0">
    <w:p w:rsidR="000551B2" w:rsidRDefault="000551B2" w:rsidP="004E16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49C7"/>
    <w:multiLevelType w:val="hybridMultilevel"/>
    <w:tmpl w:val="64C09768"/>
    <w:lvl w:ilvl="0" w:tplc="66E60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584DDE"/>
    <w:multiLevelType w:val="hybridMultilevel"/>
    <w:tmpl w:val="64E40C40"/>
    <w:lvl w:ilvl="0" w:tplc="5D32AF7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A45CAF"/>
    <w:multiLevelType w:val="hybridMultilevel"/>
    <w:tmpl w:val="E214C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14F4"/>
    <w:rsid w:val="000551B2"/>
    <w:rsid w:val="00057C5F"/>
    <w:rsid w:val="00075CC7"/>
    <w:rsid w:val="000A6C2D"/>
    <w:rsid w:val="000B72F2"/>
    <w:rsid w:val="000C2E02"/>
    <w:rsid w:val="000C6FB8"/>
    <w:rsid w:val="000E0CE8"/>
    <w:rsid w:val="000F50FA"/>
    <w:rsid w:val="001179D7"/>
    <w:rsid w:val="0017389E"/>
    <w:rsid w:val="001C08A0"/>
    <w:rsid w:val="001C2504"/>
    <w:rsid w:val="001C3C41"/>
    <w:rsid w:val="001E45D3"/>
    <w:rsid w:val="00200356"/>
    <w:rsid w:val="00201652"/>
    <w:rsid w:val="002264CF"/>
    <w:rsid w:val="002334BA"/>
    <w:rsid w:val="00244FFC"/>
    <w:rsid w:val="00247B2C"/>
    <w:rsid w:val="002E6D44"/>
    <w:rsid w:val="00305C87"/>
    <w:rsid w:val="003455FD"/>
    <w:rsid w:val="003768DC"/>
    <w:rsid w:val="003825C5"/>
    <w:rsid w:val="0039253E"/>
    <w:rsid w:val="003C226A"/>
    <w:rsid w:val="003C50D0"/>
    <w:rsid w:val="003F3707"/>
    <w:rsid w:val="003F79E9"/>
    <w:rsid w:val="00415029"/>
    <w:rsid w:val="0046507A"/>
    <w:rsid w:val="004B1172"/>
    <w:rsid w:val="004B14F4"/>
    <w:rsid w:val="004D6E7D"/>
    <w:rsid w:val="004E163E"/>
    <w:rsid w:val="00511A96"/>
    <w:rsid w:val="005342AC"/>
    <w:rsid w:val="005408CC"/>
    <w:rsid w:val="005B7266"/>
    <w:rsid w:val="005C5C1F"/>
    <w:rsid w:val="005E0999"/>
    <w:rsid w:val="005F7011"/>
    <w:rsid w:val="00666AD2"/>
    <w:rsid w:val="00695BEF"/>
    <w:rsid w:val="006E4D0C"/>
    <w:rsid w:val="00712920"/>
    <w:rsid w:val="00714A56"/>
    <w:rsid w:val="00724970"/>
    <w:rsid w:val="0076061A"/>
    <w:rsid w:val="007725A7"/>
    <w:rsid w:val="00790722"/>
    <w:rsid w:val="007A5A09"/>
    <w:rsid w:val="007C1366"/>
    <w:rsid w:val="007D477C"/>
    <w:rsid w:val="007D6559"/>
    <w:rsid w:val="00812CCA"/>
    <w:rsid w:val="008166C9"/>
    <w:rsid w:val="00835041"/>
    <w:rsid w:val="008B2FD0"/>
    <w:rsid w:val="008E4075"/>
    <w:rsid w:val="0092172B"/>
    <w:rsid w:val="00950301"/>
    <w:rsid w:val="00987006"/>
    <w:rsid w:val="009934D1"/>
    <w:rsid w:val="009B1C1A"/>
    <w:rsid w:val="00A3043D"/>
    <w:rsid w:val="00A75495"/>
    <w:rsid w:val="00A82D6D"/>
    <w:rsid w:val="00AC0F93"/>
    <w:rsid w:val="00B4142C"/>
    <w:rsid w:val="00B55F5C"/>
    <w:rsid w:val="00B66969"/>
    <w:rsid w:val="00B91A8E"/>
    <w:rsid w:val="00B91D42"/>
    <w:rsid w:val="00BA3A31"/>
    <w:rsid w:val="00BB6CA0"/>
    <w:rsid w:val="00BF118A"/>
    <w:rsid w:val="00C15D57"/>
    <w:rsid w:val="00C35E5C"/>
    <w:rsid w:val="00C63100"/>
    <w:rsid w:val="00C6630F"/>
    <w:rsid w:val="00CB43A6"/>
    <w:rsid w:val="00CD2DD1"/>
    <w:rsid w:val="00CD422E"/>
    <w:rsid w:val="00CD69CC"/>
    <w:rsid w:val="00CD6F16"/>
    <w:rsid w:val="00CE1E8E"/>
    <w:rsid w:val="00D5221D"/>
    <w:rsid w:val="00DA0AF7"/>
    <w:rsid w:val="00DC5395"/>
    <w:rsid w:val="00E160D8"/>
    <w:rsid w:val="00E22955"/>
    <w:rsid w:val="00E35EA0"/>
    <w:rsid w:val="00E53370"/>
    <w:rsid w:val="00EA4E10"/>
    <w:rsid w:val="00EE06CD"/>
    <w:rsid w:val="00EE7F13"/>
    <w:rsid w:val="00F120DB"/>
    <w:rsid w:val="00F96034"/>
    <w:rsid w:val="00FA4F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0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4F4"/>
    <w:pPr>
      <w:ind w:left="720"/>
      <w:contextualSpacing/>
    </w:pPr>
  </w:style>
  <w:style w:type="character" w:styleId="Strong">
    <w:name w:val="Strong"/>
    <w:basedOn w:val="DefaultParagraphFont"/>
    <w:uiPriority w:val="22"/>
    <w:qFormat/>
    <w:rsid w:val="004B14F4"/>
    <w:rPr>
      <w:b/>
      <w:bCs/>
    </w:rPr>
  </w:style>
  <w:style w:type="paragraph" w:styleId="NormalWeb">
    <w:name w:val="Normal (Web)"/>
    <w:basedOn w:val="Normal"/>
    <w:uiPriority w:val="99"/>
    <w:semiHidden/>
    <w:unhideWhenUsed/>
    <w:rsid w:val="004B14F4"/>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rsid w:val="004E163E"/>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4E163E"/>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4E163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4E163E"/>
    <w:rPr>
      <w:rFonts w:ascii="Times New Roman" w:eastAsia="Times New Roman" w:hAnsi="Times New Roman"/>
    </w:rPr>
  </w:style>
  <w:style w:type="character" w:styleId="EndnoteReference">
    <w:name w:val="endnote reference"/>
    <w:basedOn w:val="DefaultParagraphFont"/>
    <w:uiPriority w:val="99"/>
    <w:semiHidden/>
    <w:unhideWhenUsed/>
    <w:rsid w:val="004E163E"/>
    <w:rPr>
      <w:vertAlign w:val="superscript"/>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2 Char Char Char Char"/>
    <w:basedOn w:val="Normal"/>
    <w:link w:val="FootnoteTextChar"/>
    <w:semiHidden/>
    <w:rsid w:val="00511A96"/>
    <w:pPr>
      <w:autoSpaceDE w:val="0"/>
      <w:autoSpaceDN w:val="0"/>
      <w:spacing w:after="0" w:line="240" w:lineRule="auto"/>
    </w:pPr>
    <w:rPr>
      <w:rFonts w:ascii="New York" w:eastAsia="SimSun" w:hAnsi="New York"/>
      <w:sz w:val="24"/>
      <w:szCs w:val="24"/>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semiHidden/>
    <w:rsid w:val="00511A96"/>
    <w:rPr>
      <w:rFonts w:ascii="New York" w:eastAsia="SimSun" w:hAnsi="New York"/>
      <w:sz w:val="24"/>
      <w:szCs w:val="24"/>
    </w:rPr>
  </w:style>
  <w:style w:type="character" w:styleId="FootnoteReference">
    <w:name w:val="footnote reference"/>
    <w:basedOn w:val="DefaultParagraphFont"/>
    <w:semiHidden/>
    <w:unhideWhenUsed/>
    <w:rsid w:val="00511A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3" ma:contentTypeDescription="Create a new document." ma:contentTypeScope="" ma:versionID="c3dcb4b67e965512cc70d456f4c6857e">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ef185413b151aa9abf3ef7f6ed30a2a1"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E8A6BB1E-BD0C-4D1C-A850-CE4FE470A483}"/>
</file>

<file path=customXml/itemProps2.xml><?xml version="1.0" encoding="utf-8"?>
<ds:datastoreItem xmlns:ds="http://schemas.openxmlformats.org/officeDocument/2006/customXml" ds:itemID="{56ADF9AC-C056-4E24-8B54-7E55E13D1071}"/>
</file>

<file path=customXml/itemProps3.xml><?xml version="1.0" encoding="utf-8"?>
<ds:datastoreItem xmlns:ds="http://schemas.openxmlformats.org/officeDocument/2006/customXml" ds:itemID="{E5F38F54-B268-4485-B376-AF6281F6684A}"/>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TotalTime>
  <Pages>2</Pages>
  <Words>1140</Words>
  <Characters>6293</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7404</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2011-11-25T11:00:00Z</dcterms:created>
  <dcterms:modified xsi:type="dcterms:W3CDTF">2011-11-25T11:00:00Z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