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5A" w:rsidRDefault="00896F5A" w:rsidP="00896F5A">
      <w:pPr>
        <w:jc w:val="center"/>
        <w:rPr>
          <w:b/>
          <w:bCs/>
          <w:sz w:val="28"/>
        </w:rPr>
      </w:pPr>
      <w:r w:rsidRPr="00896F5A">
        <w:rPr>
          <w:b/>
          <w:bCs/>
          <w:sz w:val="28"/>
        </w:rPr>
        <w:t>Enabling Cost-effective Process Simulation for the Composites Industry: Efficient Characterisation of Complex Fibre Preforms</w:t>
      </w:r>
    </w:p>
    <w:p w:rsidR="00896F5A" w:rsidRPr="00896F5A" w:rsidRDefault="00896F5A" w:rsidP="00896F5A">
      <w:pPr>
        <w:jc w:val="center"/>
        <w:rPr>
          <w:bCs/>
          <w:sz w:val="24"/>
        </w:rPr>
      </w:pPr>
      <w:r w:rsidRPr="00896F5A">
        <w:rPr>
          <w:bCs/>
          <w:sz w:val="24"/>
        </w:rPr>
        <w:t>A Marie-Curie Incoming Fellowship</w:t>
      </w:r>
    </w:p>
    <w:p w:rsidR="00896F5A" w:rsidRPr="00896F5A" w:rsidRDefault="00896F5A" w:rsidP="00896F5A">
      <w:pPr>
        <w:jc w:val="center"/>
        <w:rPr>
          <w:i/>
          <w:sz w:val="24"/>
          <w:lang w:eastAsia="en-NZ"/>
        </w:rPr>
      </w:pPr>
      <w:r w:rsidRPr="00896F5A">
        <w:rPr>
          <w:bCs/>
          <w:i/>
          <w:sz w:val="24"/>
        </w:rPr>
        <w:t>Dr. Andrew Walbran</w:t>
      </w:r>
    </w:p>
    <w:p w:rsidR="006752C6" w:rsidRDefault="006752C6" w:rsidP="006752C6">
      <w:r>
        <w:rPr>
          <w:noProof/>
          <w:lang w:eastAsia="en-NZ"/>
        </w:rPr>
        <mc:AlternateContent>
          <mc:Choice Requires="wps">
            <w:drawing>
              <wp:anchor distT="0" distB="0" distL="114300" distR="114300" simplePos="0" relativeHeight="251659264" behindDoc="0" locked="0" layoutInCell="1" allowOverlap="1" wp14:anchorId="4CF0C9DB" wp14:editId="4C7CBD36">
                <wp:simplePos x="0" y="0"/>
                <wp:positionH relativeFrom="column">
                  <wp:posOffset>-71120</wp:posOffset>
                </wp:positionH>
                <wp:positionV relativeFrom="paragraph">
                  <wp:posOffset>1895475</wp:posOffset>
                </wp:positionV>
                <wp:extent cx="5904865" cy="3994150"/>
                <wp:effectExtent l="0" t="0" r="635" b="635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99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2C6" w:rsidRDefault="006752C6" w:rsidP="006752C6">
                            <w:pPr>
                              <w:jc w:val="center"/>
                            </w:pPr>
                            <w:r>
                              <w:object w:dxaOrig="11433" w:dyaOrig="10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8pt;height:280.3pt" o:ole="">
                                  <v:imagedata r:id="rId5" o:title=""/>
                                </v:shape>
                                <o:OLEObject Type="Embed" ProgID="Visio.Drawing.11" ShapeID="_x0000_i1025" DrawAspect="Content" ObjectID="_1465579093" r:id="rId6"/>
                              </w:object>
                            </w:r>
                          </w:p>
                          <w:p w:rsidR="006752C6" w:rsidRPr="00C4590E" w:rsidRDefault="006752C6" w:rsidP="006752C6">
                            <w:pPr>
                              <w:pStyle w:val="Caption"/>
                              <w:rPr>
                                <w:szCs w:val="20"/>
                              </w:rPr>
                            </w:pPr>
                            <w:bookmarkStart w:id="0" w:name="_Ref388791159"/>
                            <w:r w:rsidRPr="00C4590E">
                              <w:t xml:space="preserve">Figure </w:t>
                            </w:r>
                            <w:fldSimple w:instr=" SEQ Figure \* ARABIC ">
                              <w:r w:rsidRPr="00C4590E">
                                <w:rPr>
                                  <w:noProof/>
                                </w:rPr>
                                <w:t>1</w:t>
                              </w:r>
                            </w:fldSimple>
                            <w:r w:rsidRPr="00C4590E">
                              <w:rPr>
                                <w:szCs w:val="20"/>
                              </w:rPr>
                              <w:t>: Schematic of 2D in-plane permeability and through thickness compaction measurement facility.</w:t>
                            </w:r>
                            <w:bookmarkEnd w:id="0"/>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6pt;margin-top:149.25pt;width:464.9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" stroked="f">
                <v:textbox style="mso-fit-shape-to-text:t" inset=",0,,0">
                  <w:txbxContent>
                    <w:p w:rsidR="006752C6" w:rsidRDefault="006752C6" w:rsidP="006752C6">
                      <w:pPr>
                        <w:jc w:val="center"/>
                      </w:pPr>
                      <w:r>
                        <w:object w:dxaOrig="11433" w:dyaOrig="10557">
                          <v:shape id="_x0000_i1025" type="#_x0000_t75" style="width:277.8pt;height:280.3pt" o:ole="">
                            <v:imagedata r:id="rId7" o:title=""/>
                          </v:shape>
                          <o:OLEObject Type="Embed" ProgID="Visio.Drawing.11" ShapeID="_x0000_i1025" DrawAspect="Content" ObjectID="_1464860313" r:id="rId8"/>
                        </w:object>
                      </w:r>
                    </w:p>
                    <w:p w:rsidR="006752C6" w:rsidRPr="00C4590E" w:rsidRDefault="006752C6" w:rsidP="006752C6">
                      <w:pPr>
                        <w:pStyle w:val="Caption"/>
                        <w:rPr>
                          <w:szCs w:val="20"/>
                        </w:rPr>
                      </w:pPr>
                      <w:bookmarkStart w:id="2" w:name="_Ref388791159"/>
                      <w:r w:rsidRPr="00C4590E">
                        <w:t xml:space="preserve">Figure </w:t>
                      </w:r>
                      <w:r>
                        <w:fldChar w:fldCharType="begin"/>
                      </w:r>
                      <w:r>
                        <w:instrText xml:space="preserve"> SEQ Figure \* ARABIC </w:instrText>
                      </w:r>
                      <w:r>
                        <w:fldChar w:fldCharType="separate"/>
                      </w:r>
                      <w:r w:rsidRPr="00C4590E">
                        <w:rPr>
                          <w:noProof/>
                        </w:rPr>
                        <w:t>1</w:t>
                      </w:r>
                      <w:r>
                        <w:rPr>
                          <w:noProof/>
                        </w:rPr>
                        <w:fldChar w:fldCharType="end"/>
                      </w:r>
                      <w:r w:rsidRPr="00C4590E">
                        <w:rPr>
                          <w:szCs w:val="20"/>
                        </w:rPr>
                        <w:t>: Schematic of 2D in-plane permeability and through thickness compaction measurement facility.</w:t>
                      </w:r>
                      <w:bookmarkEnd w:id="2"/>
                    </w:p>
                  </w:txbxContent>
                </v:textbox>
                <w10:wrap type="topAndBottom"/>
              </v:shape>
            </w:pict>
          </mc:Fallback>
        </mc:AlternateContent>
      </w:r>
      <w:r>
        <w:rPr>
          <w:lang w:eastAsia="en-NZ"/>
        </w:rPr>
        <w:t xml:space="preserve">A Marie Curie Fellowship was undertaken, from May 2012 to April 2014. The project focussed on working towards efficient characterisation techniques for permeability and compaction properties of fibrous reinforcements, as used in composites materials. </w:t>
      </w:r>
      <w:r>
        <w:t xml:space="preserve">A new facility for the characterisation of the permeability and compaction response of dry fibrous reinforcements was developed at the Institute for Carbon Composites (LCC), Technical University of Munich (Figure 1). The facility utilised the radial flow injection methodology and image capture to monitor flow front progression. Figure 2 </w:t>
      </w:r>
      <w:r w:rsidR="003849FC">
        <w:t>shows</w:t>
      </w:r>
      <w:r>
        <w:t xml:space="preserve"> example of the image analysis steps necessary to calculate permeability for each test. The new facility is considerably faster than the existing rectilinear injection facilities at the LCC, and uses less material.</w:t>
      </w:r>
    </w:p>
    <w:p w:rsidR="006752C6" w:rsidRDefault="006752C6" w:rsidP="006752C6">
      <w:pPr>
        <w:rPr>
          <w:lang w:eastAsia="en-NZ"/>
        </w:rPr>
      </w:pPr>
      <w:r>
        <w:rPr>
          <w:lang w:eastAsia="en-NZ"/>
        </w:rPr>
        <w:t xml:space="preserve"> An extensive experimental programme was undertaken to identify the key processing parameters affecting permeability and compaction response. A range of manufacturing parameters were tested, including fibre volume fraction, </w:t>
      </w:r>
      <w:r w:rsidR="003849FC">
        <w:rPr>
          <w:lang w:eastAsia="en-NZ"/>
        </w:rPr>
        <w:t>the effect of nesting, in-plane</w:t>
      </w:r>
      <w:r>
        <w:rPr>
          <w:lang w:eastAsia="en-NZ"/>
        </w:rPr>
        <w:t xml:space="preserve"> shear, number of layers and different material types. Permeability as a function of fibre volume fraction for two carbon fibre reinforcements is given in Figure 3.</w:t>
      </w:r>
    </w:p>
    <w:p w:rsidR="006752C6" w:rsidRDefault="006752C6" w:rsidP="006752C6">
      <w:pPr>
        <w:rPr>
          <w:lang w:eastAsia="en-NZ"/>
        </w:rPr>
      </w:pPr>
      <w:r>
        <w:rPr>
          <w:lang w:eastAsia="en-NZ"/>
        </w:rPr>
        <w:t>A survey of industrial end-user requirements for material characterisation was under taken. While the number of responses to the survey to date was less than desired, some preliminary findings were combined with the experimental results to propose a way forward in developing an efficient characterisation facility.</w:t>
      </w:r>
    </w:p>
    <w:p w:rsidR="006752C6" w:rsidRDefault="006752C6" w:rsidP="006752C6">
      <w:pPr>
        <w:rPr>
          <w:lang w:eastAsia="en-NZ"/>
        </w:rPr>
      </w:pPr>
      <w:r>
        <w:rPr>
          <w:lang w:eastAsia="en-NZ"/>
        </w:rPr>
        <w:t>Throughout the fellowship, considerable knowledge transfer activities took place. These range from direct knowledge transfer in the area of material characterisation through to general research knowledge, through paper revision and the development of a Formal English language lecture for academics.</w:t>
      </w:r>
    </w:p>
    <w:p w:rsidR="006752C6" w:rsidRDefault="006752C6" w:rsidP="006752C6">
      <w:pPr>
        <w:rPr>
          <w:lang w:eastAsia="en-NZ"/>
        </w:rPr>
      </w:pPr>
      <w:r>
        <w:rPr>
          <w:lang w:eastAsia="en-NZ"/>
        </w:rPr>
        <w:lastRenderedPageBreak/>
        <w:t xml:space="preserve">A number of postgraduate students were supervised by the fellow during the course of the fellowship. These student projects have helped further the links of the LCC with both industry partners (BMW AG, GE Global Research) and with other institutes (Centre for Advanced Composite Materials, Auckland, New Zealand). In addition to the student projects, the fellow furthered international collaborations with a number of research institutes through working together and research visits. Primarily these have been; the Centre for Advanced Composite Materials, University of Auckland; </w:t>
      </w:r>
      <w:r w:rsidRPr="00920C5A">
        <w:rPr>
          <w:lang w:eastAsia="en-NZ"/>
        </w:rPr>
        <w:t>Research Institute in Civil Engineering and Mech</w:t>
      </w:r>
      <w:r>
        <w:rPr>
          <w:lang w:eastAsia="en-NZ"/>
        </w:rPr>
        <w:t>anics, Ecole Centrale de Nantes; Polymer Research Group</w:t>
      </w:r>
      <w:r w:rsidR="003849FC">
        <w:rPr>
          <w:lang w:eastAsia="en-NZ"/>
        </w:rPr>
        <w:t>, University of Nottingham; and</w:t>
      </w:r>
      <w:bookmarkStart w:id="1" w:name="_GoBack"/>
      <w:bookmarkEnd w:id="1"/>
      <w:r>
        <w:rPr>
          <w:lang w:eastAsia="en-NZ"/>
        </w:rPr>
        <w:t xml:space="preserve"> </w:t>
      </w:r>
      <w:r w:rsidRPr="00920C5A">
        <w:rPr>
          <w:lang w:eastAsia="en-NZ"/>
        </w:rPr>
        <w:t>Institut für Ver</w:t>
      </w:r>
      <w:r>
        <w:rPr>
          <w:lang w:eastAsia="en-NZ"/>
        </w:rPr>
        <w:t xml:space="preserve">bundwerkstoffe, </w:t>
      </w:r>
      <w:r w:rsidRPr="00920C5A">
        <w:rPr>
          <w:lang w:eastAsia="en-NZ"/>
        </w:rPr>
        <w:t xml:space="preserve">Technische Universität </w:t>
      </w:r>
      <w:r>
        <w:rPr>
          <w:lang w:eastAsia="en-NZ"/>
        </w:rPr>
        <w:t xml:space="preserve"> Kaiserslautern.</w:t>
      </w:r>
    </w:p>
    <w:p w:rsidR="006752C6" w:rsidRDefault="006752C6" w:rsidP="006752C6">
      <w:pPr>
        <w:rPr>
          <w:lang w:eastAsia="en-NZ"/>
        </w:rPr>
      </w:pPr>
      <w:r>
        <w:rPr>
          <w:lang w:eastAsia="en-NZ"/>
        </w:rPr>
        <w:t>The fellow published four journal papers and five conference papers during the time frame of the fellowship.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3096"/>
        <w:gridCol w:w="3096"/>
      </w:tblGrid>
      <w:tr w:rsidR="006752C6" w:rsidTr="00B57BB7">
        <w:tc>
          <w:tcPr>
            <w:tcW w:w="9288" w:type="dxa"/>
            <w:gridSpan w:val="3"/>
          </w:tcPr>
          <w:p w:rsidR="006752C6" w:rsidRDefault="006752C6" w:rsidP="00B57BB7">
            <w:pPr>
              <w:keepNext/>
              <w:jc w:val="center"/>
            </w:pPr>
            <w:r w:rsidRPr="00A343E5">
              <w:rPr>
                <w:noProof/>
                <w:lang w:eastAsia="en-NZ"/>
              </w:rPr>
              <w:drawing>
                <wp:inline distT="0" distB="0" distL="0" distR="0" wp14:anchorId="5B8465B1" wp14:editId="013E20E1">
                  <wp:extent cx="5758180" cy="2507615"/>
                  <wp:effectExtent l="19050" t="0" r="0" b="0"/>
                  <wp:docPr id="1" name="Picture 7" descr="E:\Publications\Conference Papers\2014 - ECCM\example processed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ublications\Conference Papers\2014 - ECCM\example processed data.jpg"/>
                          <pic:cNvPicPr>
                            <a:picLocks noChangeAspect="1" noChangeArrowheads="1"/>
                          </pic:cNvPicPr>
                        </pic:nvPicPr>
                        <pic:blipFill>
                          <a:blip r:embed="rId9"/>
                          <a:srcRect/>
                          <a:stretch>
                            <a:fillRect/>
                          </a:stretch>
                        </pic:blipFill>
                        <pic:spPr bwMode="auto">
                          <a:xfrm>
                            <a:off x="0" y="0"/>
                            <a:ext cx="5758180" cy="2507615"/>
                          </a:xfrm>
                          <a:prstGeom prst="rect">
                            <a:avLst/>
                          </a:prstGeom>
                          <a:noFill/>
                          <a:ln w="9525">
                            <a:noFill/>
                            <a:miter lim="800000"/>
                            <a:headEnd/>
                            <a:tailEnd/>
                          </a:ln>
                        </pic:spPr>
                      </pic:pic>
                    </a:graphicData>
                  </a:graphic>
                </wp:inline>
              </w:drawing>
            </w:r>
          </w:p>
        </w:tc>
      </w:tr>
      <w:tr w:rsidR="006752C6" w:rsidTr="00B57BB7">
        <w:tc>
          <w:tcPr>
            <w:tcW w:w="3096" w:type="dxa"/>
          </w:tcPr>
          <w:p w:rsidR="006752C6" w:rsidRPr="00A343E5" w:rsidRDefault="006752C6" w:rsidP="00B57BB7">
            <w:pPr>
              <w:keepNext/>
              <w:jc w:val="center"/>
              <w:rPr>
                <w:noProof/>
                <w:lang w:eastAsia="en-NZ"/>
              </w:rPr>
            </w:pPr>
            <w:r>
              <w:rPr>
                <w:noProof/>
                <w:lang w:eastAsia="en-NZ"/>
              </w:rPr>
              <w:t>a) Lens distortion correction</w:t>
            </w:r>
          </w:p>
        </w:tc>
        <w:tc>
          <w:tcPr>
            <w:tcW w:w="3096" w:type="dxa"/>
          </w:tcPr>
          <w:p w:rsidR="006752C6" w:rsidRPr="00A343E5" w:rsidRDefault="006752C6" w:rsidP="00B57BB7">
            <w:pPr>
              <w:keepNext/>
              <w:jc w:val="center"/>
              <w:rPr>
                <w:noProof/>
                <w:lang w:eastAsia="en-NZ"/>
              </w:rPr>
            </w:pPr>
            <w:r>
              <w:rPr>
                <w:noProof/>
                <w:lang w:eastAsia="en-NZ"/>
              </w:rPr>
              <w:t>b) Black/white thresholding</w:t>
            </w:r>
          </w:p>
        </w:tc>
        <w:tc>
          <w:tcPr>
            <w:tcW w:w="3096" w:type="dxa"/>
          </w:tcPr>
          <w:p w:rsidR="006752C6" w:rsidRPr="00A343E5" w:rsidRDefault="006752C6" w:rsidP="00B57BB7">
            <w:pPr>
              <w:keepNext/>
              <w:jc w:val="center"/>
              <w:rPr>
                <w:noProof/>
                <w:lang w:eastAsia="en-NZ"/>
              </w:rPr>
            </w:pPr>
            <w:r>
              <w:rPr>
                <w:noProof/>
                <w:lang w:eastAsia="en-NZ"/>
              </w:rPr>
              <w:t>c) Flow-front fitting</w:t>
            </w:r>
          </w:p>
        </w:tc>
      </w:tr>
    </w:tbl>
    <w:p w:rsidR="006752C6" w:rsidRDefault="006752C6" w:rsidP="006752C6">
      <w:pPr>
        <w:pStyle w:val="Caption"/>
      </w:pPr>
      <w:bookmarkStart w:id="2" w:name="_Ref388795805"/>
      <w:r>
        <w:t xml:space="preserve">Figure </w:t>
      </w:r>
      <w:fldSimple w:instr=" SEQ Figure \* ARABIC ">
        <w:r>
          <w:rPr>
            <w:noProof/>
          </w:rPr>
          <w:t>2</w:t>
        </w:r>
      </w:fldSimple>
      <w:r>
        <w:t>: Image analysis steps.</w:t>
      </w:r>
      <w:bookmarkEnd w:id="2"/>
    </w:p>
    <w:tbl>
      <w:tblPr>
        <w:tblpPr w:leftFromText="180" w:rightFromText="180" w:vertAnchor="text"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64"/>
      </w:tblGrid>
      <w:tr w:rsidR="006752C6" w:rsidRPr="00322E59" w:rsidTr="00B57BB7">
        <w:tc>
          <w:tcPr>
            <w:tcW w:w="4670" w:type="dxa"/>
            <w:tcBorders>
              <w:top w:val="nil"/>
              <w:left w:val="nil"/>
              <w:bottom w:val="nil"/>
              <w:right w:val="nil"/>
            </w:tcBorders>
            <w:shd w:val="clear" w:color="auto" w:fill="auto"/>
          </w:tcPr>
          <w:p w:rsidR="006752C6" w:rsidRPr="00424CE4" w:rsidRDefault="006752C6" w:rsidP="00B57BB7">
            <w:pPr>
              <w:pStyle w:val="Body"/>
              <w:spacing w:after="0"/>
              <w:jc w:val="center"/>
            </w:pPr>
            <w:r w:rsidRPr="00EC4393">
              <w:br w:type="page"/>
            </w:r>
            <w:r>
              <w:rPr>
                <w:noProof/>
                <w:lang w:eastAsia="en-NZ"/>
              </w:rPr>
              <mc:AlternateContent>
                <mc:Choice Requires="wps">
                  <w:drawing>
                    <wp:anchor distT="0" distB="0" distL="114300" distR="114300" simplePos="0" relativeHeight="251661312" behindDoc="0" locked="0" layoutInCell="1" allowOverlap="1" wp14:anchorId="78BC29E9" wp14:editId="65A0C25C">
                      <wp:simplePos x="0" y="0"/>
                      <wp:positionH relativeFrom="column">
                        <wp:posOffset>-80645</wp:posOffset>
                      </wp:positionH>
                      <wp:positionV relativeFrom="paragraph">
                        <wp:posOffset>-8890</wp:posOffset>
                      </wp:positionV>
                      <wp:extent cx="505460" cy="3841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2C6" w:rsidRDefault="006752C6" w:rsidP="006752C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6.35pt;margin-top:-.7pt;width:39.8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jKtw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" filled="f" stroked="f">
                      <v:textbox>
                        <w:txbxContent>
                          <w:p w:rsidR="006752C6" w:rsidRDefault="006752C6" w:rsidP="006752C6">
                            <w:r>
                              <w:t>a)</w:t>
                            </w:r>
                          </w:p>
                        </w:txbxContent>
                      </v:textbox>
                    </v:shape>
                  </w:pict>
                </mc:Fallback>
              </mc:AlternateContent>
            </w:r>
            <w:r>
              <w:rPr>
                <w:noProof/>
                <w:lang w:eastAsia="en-NZ"/>
              </w:rPr>
              <w:drawing>
                <wp:inline distT="0" distB="0" distL="0" distR="0" wp14:anchorId="634D20DB" wp14:editId="20F25ECE">
                  <wp:extent cx="2851785" cy="2517140"/>
                  <wp:effectExtent l="0" t="0" r="5715" b="0"/>
                  <wp:docPr id="8" name="Picture 8" descr="K11 K22 baseline N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11 K22 baseline NC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785" cy="2517140"/>
                          </a:xfrm>
                          <a:prstGeom prst="rect">
                            <a:avLst/>
                          </a:prstGeom>
                          <a:noFill/>
                          <a:ln>
                            <a:noFill/>
                          </a:ln>
                        </pic:spPr>
                      </pic:pic>
                    </a:graphicData>
                  </a:graphic>
                </wp:inline>
              </w:drawing>
            </w:r>
          </w:p>
        </w:tc>
        <w:tc>
          <w:tcPr>
            <w:tcW w:w="4618" w:type="dxa"/>
            <w:tcBorders>
              <w:top w:val="nil"/>
              <w:left w:val="nil"/>
              <w:bottom w:val="nil"/>
              <w:right w:val="nil"/>
            </w:tcBorders>
            <w:shd w:val="clear" w:color="auto" w:fill="auto"/>
          </w:tcPr>
          <w:p w:rsidR="006752C6" w:rsidRPr="00424CE4" w:rsidRDefault="006752C6" w:rsidP="00B57BB7">
            <w:pPr>
              <w:pStyle w:val="Body"/>
              <w:keepNext/>
              <w:spacing w:after="0"/>
              <w:jc w:val="center"/>
            </w:pPr>
            <w:r>
              <w:rPr>
                <w:noProof/>
                <w:lang w:eastAsia="en-NZ"/>
              </w:rPr>
              <mc:AlternateContent>
                <mc:Choice Requires="wps">
                  <w:drawing>
                    <wp:anchor distT="0" distB="0" distL="114300" distR="114300" simplePos="0" relativeHeight="251662336" behindDoc="0" locked="0" layoutInCell="1" allowOverlap="1" wp14:anchorId="632BB33A" wp14:editId="1E879821">
                      <wp:simplePos x="0" y="0"/>
                      <wp:positionH relativeFrom="column">
                        <wp:posOffset>-40640</wp:posOffset>
                      </wp:positionH>
                      <wp:positionV relativeFrom="paragraph">
                        <wp:posOffset>-8890</wp:posOffset>
                      </wp:positionV>
                      <wp:extent cx="505460" cy="3841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2C6" w:rsidRDefault="006752C6" w:rsidP="006752C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2pt;margin-top:-.7pt;width:39.8pt;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Aetw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" filled="f" stroked="f">
                      <v:textbox>
                        <w:txbxContent>
                          <w:p w:rsidR="006752C6" w:rsidRDefault="006752C6" w:rsidP="006752C6">
                            <w:r>
                              <w:t>b)</w:t>
                            </w:r>
                          </w:p>
                        </w:txbxContent>
                      </v:textbox>
                    </v:shape>
                  </w:pict>
                </mc:Fallback>
              </mc:AlternateContent>
            </w:r>
            <w:r>
              <w:rPr>
                <w:noProof/>
                <w:lang w:eastAsia="en-NZ"/>
              </w:rPr>
              <w:drawing>
                <wp:inline distT="0" distB="0" distL="0" distR="0" wp14:anchorId="52E3FE95" wp14:editId="0FAA76BE">
                  <wp:extent cx="2824480" cy="2517140"/>
                  <wp:effectExtent l="0" t="0" r="0" b="0"/>
                  <wp:docPr id="7" name="Picture 7" descr="K11 K22  Baseline_W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11 K22  Baseline_Wea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4480" cy="2517140"/>
                          </a:xfrm>
                          <a:prstGeom prst="rect">
                            <a:avLst/>
                          </a:prstGeom>
                          <a:noFill/>
                          <a:ln>
                            <a:noFill/>
                          </a:ln>
                        </pic:spPr>
                      </pic:pic>
                    </a:graphicData>
                  </a:graphic>
                </wp:inline>
              </w:drawing>
            </w:r>
          </w:p>
        </w:tc>
      </w:tr>
      <w:tr w:rsidR="006752C6" w:rsidRPr="00322E59" w:rsidTr="00B57BB7">
        <w:trPr>
          <w:trHeight w:hRule="exact" w:val="454"/>
        </w:trPr>
        <w:tc>
          <w:tcPr>
            <w:tcW w:w="9288" w:type="dxa"/>
            <w:gridSpan w:val="2"/>
            <w:tcBorders>
              <w:top w:val="nil"/>
              <w:left w:val="nil"/>
              <w:bottom w:val="nil"/>
              <w:right w:val="nil"/>
            </w:tcBorders>
            <w:shd w:val="clear" w:color="auto" w:fill="auto"/>
          </w:tcPr>
          <w:p w:rsidR="006752C6" w:rsidRPr="006B6988" w:rsidRDefault="006752C6" w:rsidP="00B57BB7">
            <w:pPr>
              <w:pStyle w:val="Caption"/>
            </w:pPr>
            <w:bookmarkStart w:id="3" w:name="_Ref383431904"/>
            <w:r w:rsidRPr="006B6988">
              <w:t xml:space="preserve">Figure </w:t>
            </w:r>
            <w:fldSimple w:instr=" SEQ Figure \* ARABIC ">
              <w:r>
                <w:rPr>
                  <w:noProof/>
                </w:rPr>
                <w:t>3</w:t>
              </w:r>
            </w:fldSimple>
            <w:bookmarkEnd w:id="3"/>
            <w:r w:rsidRPr="006B6988">
              <w:t xml:space="preserve">. </w:t>
            </w:r>
            <w:r>
              <w:t xml:space="preserve">Example output data - </w:t>
            </w:r>
            <w:r w:rsidRPr="006B6988">
              <w:t xml:space="preserve">Permeability as a function of Vf for a) </w:t>
            </w:r>
            <w:r>
              <w:t>non-crimp fabric</w:t>
            </w:r>
            <w:r w:rsidRPr="006B6988">
              <w:t>, and b) woven materials.</w:t>
            </w:r>
          </w:p>
          <w:p w:rsidR="006752C6" w:rsidRDefault="006752C6" w:rsidP="00B57BB7">
            <w:pPr>
              <w:pStyle w:val="Body"/>
              <w:keepNext/>
              <w:spacing w:after="0"/>
              <w:jc w:val="center"/>
              <w:rPr>
                <w:noProof/>
                <w:lang w:eastAsia="en-NZ"/>
              </w:rPr>
            </w:pPr>
          </w:p>
        </w:tc>
      </w:tr>
    </w:tbl>
    <w:p w:rsidR="00CE5044" w:rsidRDefault="00CE5044"/>
    <w:sectPr w:rsidR="00CE5044" w:rsidSect="00896F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C6"/>
    <w:rsid w:val="003849FC"/>
    <w:rsid w:val="006752C6"/>
    <w:rsid w:val="00896F5A"/>
    <w:rsid w:val="00CE50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C6"/>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752C6"/>
    <w:pPr>
      <w:spacing w:line="240" w:lineRule="auto"/>
      <w:jc w:val="center"/>
    </w:pPr>
    <w:rPr>
      <w:bCs/>
      <w:sz w:val="20"/>
      <w:szCs w:val="18"/>
    </w:rPr>
  </w:style>
  <w:style w:type="table" w:styleId="TableGrid">
    <w:name w:val="Table Grid"/>
    <w:basedOn w:val="TableNormal"/>
    <w:uiPriority w:val="59"/>
    <w:rsid w:val="006752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5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C6"/>
    <w:rPr>
      <w:rFonts w:ascii="Tahoma" w:hAnsi="Tahoma" w:cs="Tahoma"/>
      <w:sz w:val="16"/>
      <w:szCs w:val="16"/>
    </w:rPr>
  </w:style>
  <w:style w:type="paragraph" w:customStyle="1" w:styleId="Body">
    <w:name w:val="Body"/>
    <w:basedOn w:val="Normal"/>
    <w:rsid w:val="006752C6"/>
    <w:pPr>
      <w:spacing w:after="24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C6"/>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752C6"/>
    <w:pPr>
      <w:spacing w:line="240" w:lineRule="auto"/>
      <w:jc w:val="center"/>
    </w:pPr>
    <w:rPr>
      <w:bCs/>
      <w:sz w:val="20"/>
      <w:szCs w:val="18"/>
    </w:rPr>
  </w:style>
  <w:style w:type="table" w:styleId="TableGrid">
    <w:name w:val="Table Grid"/>
    <w:basedOn w:val="TableNormal"/>
    <w:uiPriority w:val="59"/>
    <w:rsid w:val="006752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5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C6"/>
    <w:rPr>
      <w:rFonts w:ascii="Tahoma" w:hAnsi="Tahoma" w:cs="Tahoma"/>
      <w:sz w:val="16"/>
      <w:szCs w:val="16"/>
    </w:rPr>
  </w:style>
  <w:style w:type="paragraph" w:customStyle="1" w:styleId="Body">
    <w:name w:val="Body"/>
    <w:basedOn w:val="Normal"/>
    <w:rsid w:val="006752C6"/>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0.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e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2014-06-21T00:40:00Z</dcterms:created>
  <dcterms:modified xsi:type="dcterms:W3CDTF">2014-06-29T08:25:00Z</dcterms:modified>
</cp:coreProperties>
</file>