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</w:pPr>
      <w:bookmarkStart w:colFirst="0" w:colLast="0" w:name="h.2xlsb5vynwk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bidi w:val="0"/>
        <w:tblW w:w="9071.511811023622" w:type="dxa"/>
        <w:jc w:val="left"/>
        <w:tblLayout w:type="fixed"/>
        <w:tblLook w:val="0600"/>
      </w:tblPr>
      <w:tblGrid>
        <w:gridCol w:w="3023.8372703412074"/>
        <w:gridCol w:w="3023.8372703412074"/>
        <w:gridCol w:w="3023.8372703412074"/>
        <w:tblGridChange w:id="0">
          <w:tblGrid>
            <w:gridCol w:w="3023.8372703412074"/>
            <w:gridCol w:w="3023.8372703412074"/>
            <w:gridCol w:w="3023.8372703412074"/>
          </w:tblGrid>
        </w:tblGridChange>
      </w:tblGrid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88" w:lineRule="auto"/>
              <w:contextualSpacing w:val="0"/>
              <w:jc w:val="center"/>
            </w:pPr>
            <w:bookmarkStart w:colFirst="0" w:colLast="0" w:name="h.y11djpfqvau7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88" w:lineRule="auto"/>
              <w:contextualSpacing w:val="0"/>
              <w:jc w:val="center"/>
            </w:pPr>
            <w:bookmarkStart w:colFirst="0" w:colLast="0" w:name="h.y11djpfqvau7" w:id="1"/>
            <w:bookmarkEnd w:id="1"/>
            <w:r w:rsidDel="00000000" w:rsidR="00000000" w:rsidRPr="00000000">
              <w:drawing>
                <wp:inline distB="114300" distT="114300" distL="114300" distR="114300">
                  <wp:extent cx="1841500" cy="1244600"/>
                  <wp:effectExtent b="0" l="0" r="0" t="0"/>
                  <wp:docPr descr="RuPhen2pdppz.png" id="2" name="image05.png"/>
                  <a:graphic>
                    <a:graphicData uri="http://schemas.openxmlformats.org/drawingml/2006/picture">
                      <pic:pic>
                        <pic:nvPicPr>
                          <pic:cNvPr descr="RuPhen2pdppz.png" id="0" name="image05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1244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88" w:lineRule="auto"/>
              <w:contextualSpacing w:val="0"/>
              <w:jc w:val="center"/>
            </w:pPr>
            <w:bookmarkStart w:colFirst="0" w:colLast="0" w:name="h.y11djpfqvau7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after="0" w:line="288" w:lineRule="auto"/>
              <w:contextualSpacing w:val="0"/>
              <w:jc w:val="center"/>
            </w:pPr>
            <w:bookmarkStart w:colFirst="0" w:colLast="0" w:name="h.y11djpfqvau7" w:id="1"/>
            <w:bookmarkEnd w:id="1"/>
            <w:r w:rsidDel="00000000" w:rsidR="00000000" w:rsidRPr="00000000">
              <w:drawing>
                <wp:inline distB="114300" distT="114300" distL="114300" distR="114300">
                  <wp:extent cx="1841500" cy="1181100"/>
                  <wp:effectExtent b="0" l="0" r="0" t="0"/>
                  <wp:docPr descr="Ruphen2mpdppz2.png" id="9" name="image17.png"/>
                  <a:graphic>
                    <a:graphicData uri="http://schemas.openxmlformats.org/drawingml/2006/picture">
                      <pic:pic>
                        <pic:nvPicPr>
                          <pic:cNvPr descr="Ruphen2mpdppz2.png" id="0" name="image17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1181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88" w:lineRule="auto"/>
              <w:contextualSpacing w:val="0"/>
              <w:jc w:val="center"/>
            </w:pPr>
            <w:bookmarkStart w:colFirst="0" w:colLast="0" w:name="h.y11djpfqvau7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spacing w:after="0" w:line="288" w:lineRule="auto"/>
              <w:contextualSpacing w:val="0"/>
              <w:jc w:val="center"/>
            </w:pPr>
            <w:bookmarkStart w:colFirst="0" w:colLast="0" w:name="h.y11djpfqvau7" w:id="1"/>
            <w:bookmarkEnd w:id="1"/>
            <w:r w:rsidDel="00000000" w:rsidR="00000000" w:rsidRPr="00000000">
              <w:drawing>
                <wp:inline distB="114300" distT="114300" distL="114300" distR="114300">
                  <wp:extent cx="1841500" cy="1257300"/>
                  <wp:effectExtent b="0" l="0" r="0" t="0"/>
                  <wp:docPr descr="RuPhrn2dtp.png" id="6" name="image14.png"/>
                  <a:graphic>
                    <a:graphicData uri="http://schemas.openxmlformats.org/drawingml/2006/picture">
                      <pic:pic>
                        <pic:nvPicPr>
                          <pic:cNvPr descr="RuPhrn2dtp.png" id="0" name="image1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1257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88" w:lineRule="auto"/>
              <w:contextualSpacing w:val="0"/>
              <w:jc w:val="center"/>
            </w:pPr>
            <w:bookmarkStart w:colFirst="0" w:colLast="0" w:name="h.y11djpfqvau7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88" w:lineRule="auto"/>
              <w:contextualSpacing w:val="0"/>
              <w:jc w:val="center"/>
            </w:pPr>
            <w:bookmarkStart w:colFirst="0" w:colLast="0" w:name="h.y11djpfqvau7" w:id="1"/>
            <w:bookmarkEnd w:id="1"/>
            <w:r w:rsidDel="00000000" w:rsidR="00000000" w:rsidRPr="00000000">
              <w:drawing>
                <wp:inline distB="114300" distT="114300" distL="114300" distR="114300">
                  <wp:extent cx="1841500" cy="1282700"/>
                  <wp:effectExtent b="0" l="0" r="0" t="0"/>
                  <wp:docPr descr="RuTap2pdppz.png" id="1" name="image02.png"/>
                  <a:graphic>
                    <a:graphicData uri="http://schemas.openxmlformats.org/drawingml/2006/picture">
                      <pic:pic>
                        <pic:nvPicPr>
                          <pic:cNvPr descr="RuTap2pdppz.png" id="0" name="image0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88" w:lineRule="auto"/>
              <w:contextualSpacing w:val="0"/>
              <w:jc w:val="center"/>
            </w:pPr>
            <w:bookmarkStart w:colFirst="0" w:colLast="0" w:name="h.y11djpfqvau7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88" w:lineRule="auto"/>
              <w:contextualSpacing w:val="0"/>
              <w:jc w:val="center"/>
            </w:pPr>
            <w:bookmarkStart w:colFirst="0" w:colLast="0" w:name="h.y11djpfqvau7" w:id="1"/>
            <w:bookmarkEnd w:id="1"/>
            <w:r w:rsidDel="00000000" w:rsidR="00000000" w:rsidRPr="00000000">
              <w:drawing>
                <wp:inline distB="114300" distT="114300" distL="114300" distR="114300">
                  <wp:extent cx="1841500" cy="1219200"/>
                  <wp:effectExtent b="0" l="0" r="0" t="0"/>
                  <wp:docPr descr="RuTap2mpdppz2.png" id="7" name="image15.png"/>
                  <a:graphic>
                    <a:graphicData uri="http://schemas.openxmlformats.org/drawingml/2006/picture">
                      <pic:pic>
                        <pic:nvPicPr>
                          <pic:cNvPr descr="RuTap2mpdppz2.png" id="0" name="image1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88" w:lineRule="auto"/>
              <w:contextualSpacing w:val="0"/>
              <w:jc w:val="center"/>
            </w:pPr>
            <w:bookmarkStart w:colFirst="0" w:colLast="0" w:name="h.y11djpfqvau7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spacing w:after="0" w:line="288" w:lineRule="auto"/>
              <w:contextualSpacing w:val="0"/>
              <w:jc w:val="center"/>
            </w:pPr>
            <w:bookmarkStart w:colFirst="0" w:colLast="0" w:name="h.y11djpfqvau7" w:id="1"/>
            <w:bookmarkEnd w:id="1"/>
            <w:r w:rsidDel="00000000" w:rsidR="00000000" w:rsidRPr="00000000">
              <w:drawing>
                <wp:inline distB="114300" distT="114300" distL="114300" distR="114300">
                  <wp:extent cx="1841500" cy="1295400"/>
                  <wp:effectExtent b="0" l="0" r="0" t="0"/>
                  <wp:docPr descr="Rutap2dtp.png" id="5" name="image13.png"/>
                  <a:graphic>
                    <a:graphicData uri="http://schemas.openxmlformats.org/drawingml/2006/picture">
                      <pic:pic>
                        <pic:nvPicPr>
                          <pic:cNvPr descr="Rutap2dtp.png" id="0" name="image1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129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76" w:lineRule="auto"/>
        <w:contextualSpacing w:val="0"/>
      </w:pPr>
      <w:bookmarkStart w:colFirst="0" w:colLast="0" w:name="h.opo5mx9jxzio" w:id="2"/>
      <w:bookmarkEnd w:id="2"/>
      <w:r w:rsidDel="00000000" w:rsidR="00000000" w:rsidRPr="00000000">
        <w:rPr>
          <w:b w:val="1"/>
          <w:sz w:val="22"/>
          <w:rtl w:val="0"/>
        </w:rPr>
        <w:t xml:space="preserve">Figure 1:</w:t>
      </w:r>
      <w:r w:rsidDel="00000000" w:rsidR="00000000" w:rsidRPr="00000000">
        <w:rPr>
          <w:sz w:val="22"/>
          <w:rtl w:val="0"/>
        </w:rPr>
        <w:t xml:space="preserve"> New polypyridyl derivatives. (</w:t>
      </w:r>
      <w:r w:rsidDel="00000000" w:rsidR="00000000" w:rsidRPr="00000000">
        <w:rPr>
          <w:b w:val="1"/>
          <w:sz w:val="22"/>
          <w:rtl w:val="0"/>
        </w:rPr>
        <w:t xml:space="preserve">1-2</w:t>
      </w:r>
      <w:r w:rsidDel="00000000" w:rsidR="00000000" w:rsidRPr="00000000">
        <w:rPr>
          <w:sz w:val="22"/>
          <w:rtl w:val="0"/>
        </w:rPr>
        <w:t xml:space="preserve">) </w:t>
      </w:r>
      <w:r w:rsidDel="00000000" w:rsidR="00000000" w:rsidRPr="00000000">
        <w:rPr>
          <w:b w:val="1"/>
          <w:sz w:val="22"/>
          <w:rtl w:val="0"/>
        </w:rPr>
        <w:t xml:space="preserve">phen</w:t>
      </w:r>
      <w:r w:rsidDel="00000000" w:rsidR="00000000" w:rsidRPr="00000000">
        <w:rPr>
          <w:sz w:val="22"/>
          <w:rtl w:val="0"/>
        </w:rPr>
        <w:t xml:space="preserve"> and </w:t>
      </w:r>
      <w:r w:rsidDel="00000000" w:rsidR="00000000" w:rsidRPr="00000000">
        <w:rPr>
          <w:b w:val="1"/>
          <w:sz w:val="22"/>
          <w:rtl w:val="0"/>
        </w:rPr>
        <w:t xml:space="preserve">tap</w:t>
      </w:r>
      <w:r w:rsidDel="00000000" w:rsidR="00000000" w:rsidRPr="00000000">
        <w:rPr>
          <w:sz w:val="22"/>
          <w:rtl w:val="0"/>
        </w:rPr>
        <w:t xml:space="preserve"> ruthenium complexes with pyrazino [2,3-</w:t>
      </w:r>
      <w:r w:rsidDel="00000000" w:rsidR="00000000" w:rsidRPr="00000000">
        <w:rPr>
          <w:i w:val="1"/>
          <w:sz w:val="22"/>
          <w:rtl w:val="0"/>
        </w:rPr>
        <w:t xml:space="preserve">h</w:t>
      </w:r>
      <w:r w:rsidDel="00000000" w:rsidR="00000000" w:rsidRPr="00000000">
        <w:rPr>
          <w:sz w:val="22"/>
          <w:rtl w:val="0"/>
        </w:rPr>
        <w:t xml:space="preserve">] dipyrido[3,2-</w:t>
      </w:r>
      <w:r w:rsidDel="00000000" w:rsidR="00000000" w:rsidRPr="00000000">
        <w:rPr>
          <w:i w:val="1"/>
          <w:sz w:val="22"/>
          <w:rtl w:val="0"/>
        </w:rPr>
        <w:t xml:space="preserve">a</w:t>
      </w:r>
      <w:r w:rsidDel="00000000" w:rsidR="00000000" w:rsidRPr="00000000">
        <w:rPr>
          <w:sz w:val="22"/>
          <w:rtl w:val="0"/>
        </w:rPr>
        <w:t xml:space="preserve">: 20,30-</w:t>
      </w:r>
      <w:r w:rsidDel="00000000" w:rsidR="00000000" w:rsidRPr="00000000">
        <w:rPr>
          <w:i w:val="1"/>
          <w:sz w:val="22"/>
          <w:rtl w:val="0"/>
        </w:rPr>
        <w:t xml:space="preserve">c</w:t>
      </w:r>
      <w:r w:rsidDel="00000000" w:rsidR="00000000" w:rsidRPr="00000000">
        <w:rPr>
          <w:sz w:val="22"/>
          <w:rtl w:val="0"/>
        </w:rPr>
        <w:t xml:space="preserve">] phenazine (</w:t>
      </w:r>
      <w:r w:rsidDel="00000000" w:rsidR="00000000" w:rsidRPr="00000000">
        <w:rPr>
          <w:b w:val="1"/>
          <w:sz w:val="22"/>
          <w:rtl w:val="0"/>
        </w:rPr>
        <w:t xml:space="preserve">pdppz</w:t>
      </w:r>
      <w:r w:rsidDel="00000000" w:rsidR="00000000" w:rsidRPr="00000000">
        <w:rPr>
          <w:sz w:val="22"/>
          <w:rtl w:val="0"/>
        </w:rPr>
        <w:t xml:space="preserve">). (</w:t>
      </w:r>
      <w:r w:rsidDel="00000000" w:rsidR="00000000" w:rsidRPr="00000000">
        <w:rPr>
          <w:b w:val="1"/>
          <w:sz w:val="22"/>
          <w:rtl w:val="0"/>
        </w:rPr>
        <w:t xml:space="preserve">3-4</w:t>
      </w:r>
      <w:r w:rsidDel="00000000" w:rsidR="00000000" w:rsidRPr="00000000">
        <w:rPr>
          <w:sz w:val="22"/>
          <w:rtl w:val="0"/>
        </w:rPr>
        <w:t xml:space="preserve">) </w:t>
      </w:r>
      <w:r w:rsidDel="00000000" w:rsidR="00000000" w:rsidRPr="00000000">
        <w:rPr>
          <w:b w:val="1"/>
          <w:sz w:val="22"/>
          <w:rtl w:val="0"/>
        </w:rPr>
        <w:t xml:space="preserve">phen</w:t>
      </w:r>
      <w:r w:rsidDel="00000000" w:rsidR="00000000" w:rsidRPr="00000000">
        <w:rPr>
          <w:sz w:val="22"/>
          <w:rtl w:val="0"/>
        </w:rPr>
        <w:t xml:space="preserve"> and </w:t>
      </w:r>
      <w:r w:rsidDel="00000000" w:rsidR="00000000" w:rsidRPr="00000000">
        <w:rPr>
          <w:b w:val="1"/>
          <w:sz w:val="22"/>
          <w:rtl w:val="0"/>
        </w:rPr>
        <w:t xml:space="preserve">tap</w:t>
      </w:r>
      <w:r w:rsidDel="00000000" w:rsidR="00000000" w:rsidRPr="00000000">
        <w:rPr>
          <w:sz w:val="22"/>
          <w:rtl w:val="0"/>
        </w:rPr>
        <w:t xml:space="preserve"> ruthenium complexes with 3- methylpyrazino [2,3-</w:t>
      </w:r>
      <w:r w:rsidDel="00000000" w:rsidR="00000000" w:rsidRPr="00000000">
        <w:rPr>
          <w:i w:val="1"/>
          <w:sz w:val="22"/>
          <w:rtl w:val="0"/>
        </w:rPr>
        <w:t xml:space="preserve">h</w:t>
      </w:r>
      <w:r w:rsidDel="00000000" w:rsidR="00000000" w:rsidRPr="00000000">
        <w:rPr>
          <w:sz w:val="22"/>
          <w:rtl w:val="0"/>
        </w:rPr>
        <w:t xml:space="preserve">]dipyrido[3,2-</w:t>
      </w:r>
      <w:r w:rsidDel="00000000" w:rsidR="00000000" w:rsidRPr="00000000">
        <w:rPr>
          <w:i w:val="1"/>
          <w:sz w:val="22"/>
          <w:rtl w:val="0"/>
        </w:rPr>
        <w:t xml:space="preserve">a</w:t>
      </w:r>
      <w:r w:rsidDel="00000000" w:rsidR="00000000" w:rsidRPr="00000000">
        <w:rPr>
          <w:sz w:val="22"/>
          <w:rtl w:val="0"/>
        </w:rPr>
        <w:t xml:space="preserve">:2’,3’-</w:t>
      </w:r>
      <w:r w:rsidDel="00000000" w:rsidR="00000000" w:rsidRPr="00000000">
        <w:rPr>
          <w:i w:val="1"/>
          <w:sz w:val="22"/>
          <w:rtl w:val="0"/>
        </w:rPr>
        <w:t xml:space="preserve">c</w:t>
      </w:r>
      <w:r w:rsidDel="00000000" w:rsidR="00000000" w:rsidRPr="00000000">
        <w:rPr>
          <w:sz w:val="22"/>
          <w:rtl w:val="0"/>
        </w:rPr>
        <w:t xml:space="preserve">]phenazine (</w:t>
      </w:r>
      <w:r w:rsidDel="00000000" w:rsidR="00000000" w:rsidRPr="00000000">
        <w:rPr>
          <w:b w:val="1"/>
          <w:sz w:val="22"/>
          <w:rtl w:val="0"/>
        </w:rPr>
        <w:t xml:space="preserve">mpdppz</w:t>
      </w:r>
      <w:r w:rsidDel="00000000" w:rsidR="00000000" w:rsidRPr="00000000">
        <w:rPr>
          <w:sz w:val="22"/>
          <w:rtl w:val="0"/>
        </w:rPr>
        <w:t xml:space="preserve">) (</w:t>
      </w:r>
      <w:r w:rsidDel="00000000" w:rsidR="00000000" w:rsidRPr="00000000">
        <w:rPr>
          <w:b w:val="1"/>
          <w:sz w:val="22"/>
          <w:rtl w:val="0"/>
        </w:rPr>
        <w:t xml:space="preserve">5-6</w:t>
      </w:r>
      <w:r w:rsidDel="00000000" w:rsidR="00000000" w:rsidRPr="00000000">
        <w:rPr>
          <w:sz w:val="22"/>
          <w:rtl w:val="0"/>
        </w:rPr>
        <w:t xml:space="preserve">) </w:t>
      </w:r>
      <w:r w:rsidDel="00000000" w:rsidR="00000000" w:rsidRPr="00000000">
        <w:rPr>
          <w:b w:val="1"/>
          <w:sz w:val="22"/>
          <w:rtl w:val="0"/>
        </w:rPr>
        <w:t xml:space="preserve">phen</w:t>
      </w:r>
      <w:r w:rsidDel="00000000" w:rsidR="00000000" w:rsidRPr="00000000">
        <w:rPr>
          <w:sz w:val="22"/>
          <w:rtl w:val="0"/>
        </w:rPr>
        <w:t xml:space="preserve"> and </w:t>
      </w:r>
      <w:r w:rsidDel="00000000" w:rsidR="00000000" w:rsidRPr="00000000">
        <w:rPr>
          <w:b w:val="1"/>
          <w:sz w:val="22"/>
          <w:rtl w:val="0"/>
        </w:rPr>
        <w:t xml:space="preserve">tap</w:t>
      </w:r>
      <w:r w:rsidDel="00000000" w:rsidR="00000000" w:rsidRPr="00000000">
        <w:rPr>
          <w:sz w:val="22"/>
          <w:rtl w:val="0"/>
        </w:rPr>
        <w:t xml:space="preserve"> ruthenium complexes with dipyrido [3,2-</w:t>
      </w:r>
      <w:r w:rsidDel="00000000" w:rsidR="00000000" w:rsidRPr="00000000">
        <w:rPr>
          <w:i w:val="1"/>
          <w:sz w:val="22"/>
          <w:rtl w:val="0"/>
        </w:rPr>
        <w:t xml:space="preserve">a</w:t>
      </w:r>
      <w:r w:rsidDel="00000000" w:rsidR="00000000" w:rsidRPr="00000000">
        <w:rPr>
          <w:sz w:val="22"/>
          <w:rtl w:val="0"/>
        </w:rPr>
        <w:t xml:space="preserve">:2’,3’-</w:t>
      </w:r>
      <w:r w:rsidDel="00000000" w:rsidR="00000000" w:rsidRPr="00000000">
        <w:rPr>
          <w:i w:val="1"/>
          <w:sz w:val="22"/>
          <w:rtl w:val="0"/>
        </w:rPr>
        <w:t xml:space="preserve">c</w:t>
      </w:r>
      <w:r w:rsidDel="00000000" w:rsidR="00000000" w:rsidRPr="00000000">
        <w:rPr>
          <w:sz w:val="22"/>
          <w:rtl w:val="0"/>
        </w:rPr>
        <w:t xml:space="preserve">] [1,2,5] thiadiazolo [3,4-4,3] phenazine (</w:t>
      </w:r>
      <w:r w:rsidDel="00000000" w:rsidR="00000000" w:rsidRPr="00000000">
        <w:rPr>
          <w:b w:val="1"/>
          <w:sz w:val="22"/>
          <w:rtl w:val="0"/>
        </w:rPr>
        <w:t xml:space="preserve">dtp</w:t>
      </w:r>
      <w:r w:rsidDel="00000000" w:rsidR="00000000" w:rsidRPr="00000000">
        <w:rPr>
          <w:sz w:val="22"/>
          <w:rtl w:val="0"/>
        </w:rPr>
        <w:t xml:space="preserve">).</w:t>
      </w:r>
    </w:p>
    <w:p w:rsidR="00000000" w:rsidDel="00000000" w:rsidP="00000000" w:rsidRDefault="00000000" w:rsidRPr="00000000">
      <w:pPr>
        <w:contextualSpacing w:val="0"/>
        <w:jc w:val="both"/>
      </w:pPr>
      <w:bookmarkStart w:colFirst="0" w:colLast="0" w:name="h.74ik40xcvosg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bookmarkStart w:colFirst="0" w:colLast="0" w:name="h.molquecxv6en" w:id="4"/>
      <w:bookmarkEnd w:id="4"/>
      <w:r w:rsidDel="00000000" w:rsidR="00000000" w:rsidRPr="00000000">
        <w:drawing>
          <wp:inline distB="114300" distT="114300" distL="114300" distR="114300">
            <wp:extent cx="5772150" cy="2641600"/>
            <wp:effectExtent b="0" l="0" r="0" t="0"/>
            <wp:docPr descr="figure2.png" id="8" name="image16.png"/>
            <a:graphic>
              <a:graphicData uri="http://schemas.openxmlformats.org/drawingml/2006/picture">
                <pic:pic>
                  <pic:nvPicPr>
                    <pic:cNvPr descr="figure2.png" id="0" name="image1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64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bookmarkStart w:colFirst="0" w:colLast="0" w:name="h.qijvcofubxln" w:id="5"/>
      <w:bookmarkEnd w:id="5"/>
      <w:r w:rsidDel="00000000" w:rsidR="00000000" w:rsidRPr="00000000">
        <w:rPr>
          <w:b w:val="1"/>
          <w:sz w:val="22"/>
          <w:rtl w:val="0"/>
        </w:rPr>
        <w:t xml:space="preserve">Figure 2:</w:t>
      </w:r>
      <w:r w:rsidDel="00000000" w:rsidR="00000000" w:rsidRPr="00000000">
        <w:rPr>
          <w:sz w:val="22"/>
          <w:rtl w:val="0"/>
        </w:rPr>
        <w:t xml:space="preserve"> The changes in the UV/Vis absorption and emission spectra of compound </w:t>
      </w:r>
      <w:r w:rsidDel="00000000" w:rsidR="00000000" w:rsidRPr="00000000">
        <w:rPr>
          <w:b w:val="1"/>
          <w:sz w:val="22"/>
          <w:rtl w:val="0"/>
        </w:rPr>
        <w:t xml:space="preserve">3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rtl w:val="0"/>
        </w:rPr>
        <w:t xml:space="preserve">∙2Cl (9.1 μM) with increasing concentration of st-DNA (0-100 μM) at pH 7.4 (10 mM PBS). </w:t>
      </w:r>
    </w:p>
    <w:p w:rsidR="00000000" w:rsidDel="00000000" w:rsidP="00000000" w:rsidRDefault="00000000" w:rsidRPr="00000000">
      <w:pPr>
        <w:contextualSpacing w:val="0"/>
        <w:jc w:val="both"/>
      </w:pPr>
      <w:bookmarkStart w:colFirst="0" w:colLast="0" w:name="h.eym4rvru6cru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bookmarkStart w:colFirst="0" w:colLast="0" w:name="h.ecvpbj6674xk" w:id="7"/>
      <w:bookmarkEnd w:id="7"/>
      <w:r w:rsidDel="00000000" w:rsidR="00000000" w:rsidRPr="00000000">
        <w:drawing>
          <wp:inline distB="114300" distT="114300" distL="114300" distR="114300">
            <wp:extent cx="5772150" cy="3251200"/>
            <wp:effectExtent b="0" l="0" r="0" t="0"/>
            <wp:docPr descr="apoptosis.png" id="4" name="image12.png"/>
            <a:graphic>
              <a:graphicData uri="http://schemas.openxmlformats.org/drawingml/2006/picture">
                <pic:pic>
                  <pic:nvPicPr>
                    <pic:cNvPr descr="apoptosis.png" id="0" name="image1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25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bookmarkStart w:colFirst="0" w:colLast="0" w:name="h.v6pkp58iugn2" w:id="8"/>
      <w:bookmarkEnd w:id="8"/>
      <w:r w:rsidDel="00000000" w:rsidR="00000000" w:rsidRPr="00000000">
        <w:rPr>
          <w:b w:val="1"/>
          <w:sz w:val="22"/>
          <w:rtl w:val="0"/>
        </w:rPr>
        <w:t xml:space="preserve">Figure 3:</w:t>
      </w:r>
      <w:r w:rsidDel="00000000" w:rsidR="00000000" w:rsidRPr="00000000">
        <w:rPr>
          <w:sz w:val="22"/>
          <w:rtl w:val="0"/>
        </w:rPr>
        <w:t xml:space="preserve"> Light-induced cell death in HeLa cells. Blue color are the nuclei stained with commercial dye DAPI and red color is the Ruthenium complex</w:t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h.dheaaqfb42h0" w:id="9"/>
      <w:bookmarkEnd w:id="9"/>
      <w:r w:rsidDel="00000000" w:rsidR="00000000" w:rsidRPr="00000000">
        <w:drawing>
          <wp:inline distB="114300" distT="114300" distL="114300" distR="114300">
            <wp:extent cx="5772150" cy="4102100"/>
            <wp:effectExtent b="0" l="0" r="0" t="0"/>
            <wp:docPr id="3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10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dheaaqfb42h0" w:id="9"/>
      <w:bookmarkEnd w:id="9"/>
      <w:r w:rsidDel="00000000" w:rsidR="00000000" w:rsidRPr="00000000">
        <w:rPr>
          <w:b w:val="1"/>
          <w:sz w:val="22"/>
          <w:rtl w:val="0"/>
        </w:rPr>
        <w:t xml:space="preserve">Figure 4:</w:t>
      </w:r>
      <w:r w:rsidDel="00000000" w:rsidR="00000000" w:rsidRPr="00000000">
        <w:rPr>
          <w:sz w:val="22"/>
          <w:rtl w:val="0"/>
        </w:rPr>
        <w:t xml:space="preserve"> Cell viability assay for RPCs </w:t>
      </w:r>
      <w:r w:rsidDel="00000000" w:rsidR="00000000" w:rsidRPr="00000000">
        <w:rPr>
          <w:b w:val="1"/>
          <w:sz w:val="22"/>
          <w:rtl w:val="0"/>
        </w:rPr>
        <w:t xml:space="preserve">1</w:t>
      </w:r>
      <w:r w:rsidDel="00000000" w:rsidR="00000000" w:rsidRPr="00000000">
        <w:rPr>
          <w:sz w:val="22"/>
          <w:rtl w:val="0"/>
        </w:rPr>
        <w:t xml:space="preserve"> to </w:t>
      </w:r>
      <w:r w:rsidDel="00000000" w:rsidR="00000000" w:rsidRPr="00000000">
        <w:rPr>
          <w:b w:val="1"/>
          <w:sz w:val="22"/>
          <w:rtl w:val="0"/>
        </w:rPr>
        <w:t xml:space="preserve">6</w:t>
      </w:r>
      <w:r w:rsidDel="00000000" w:rsidR="00000000" w:rsidRPr="00000000">
        <w:rPr>
          <w:sz w:val="22"/>
          <w:rtl w:val="0"/>
        </w:rPr>
        <w:t xml:space="preserve"> either upon illumination (red stroke) or in darkness (blue stroke).</w:t>
      </w:r>
      <w:r w:rsidDel="00000000" w:rsidR="00000000" w:rsidRPr="00000000">
        <w:rPr>
          <w:rtl w:val="0"/>
        </w:rPr>
      </w:r>
    </w:p>
    <w:sectPr>
      <w:footerReference r:id="rId14" w:type="default"/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Arial Unicode MS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200" w:before="0" w:line="276" w:lineRule="auto"/>
      <w:ind w:left="0" w:firstLine="0"/>
      <w:contextualSpacing w:val="0"/>
    </w:pPr>
    <w:fldSimple w:instr="PAGE" w:fldLock="0" w:dirty="0">
      <w:r w:rsidDel="00000000" w:rsidR="00000000" w:rsidRPr="00000000">
        <w:rPr>
          <w:rFonts w:ascii="Calibri" w:cs="Calibri" w:eastAsia="Calibri" w:hAnsi="Calibri"/>
          <w:sz w:val="22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200" w:before="0" w:line="276" w:lineRule="auto"/>
      <w:ind w:left="0" w:right="360" w:firstLine="0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4" Type="http://schemas.openxmlformats.org/officeDocument/2006/relationships/footer" Target="footer1.xml"/><Relationship Id="rId2" Type="http://schemas.openxmlformats.org/officeDocument/2006/relationships/fontTable" Target="fontTable.xml"/><Relationship Id="rId12" Type="http://schemas.openxmlformats.org/officeDocument/2006/relationships/image" Target="media/image12.png"/><Relationship Id="rId13" Type="http://schemas.openxmlformats.org/officeDocument/2006/relationships/image" Target="media/image09.png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10" Type="http://schemas.openxmlformats.org/officeDocument/2006/relationships/image" Target="media/image13.png"/><Relationship Id="rId3" Type="http://schemas.openxmlformats.org/officeDocument/2006/relationships/numbering" Target="numbering.xml"/><Relationship Id="rId11" Type="http://schemas.openxmlformats.org/officeDocument/2006/relationships/image" Target="media/image16.png"/><Relationship Id="rId9" Type="http://schemas.openxmlformats.org/officeDocument/2006/relationships/image" Target="media/image15.png"/><Relationship Id="rId6" Type="http://schemas.openxmlformats.org/officeDocument/2006/relationships/image" Target="media/image17.png"/><Relationship Id="rId5" Type="http://schemas.openxmlformats.org/officeDocument/2006/relationships/image" Target="media/image05.png"/><Relationship Id="rId8" Type="http://schemas.openxmlformats.org/officeDocument/2006/relationships/image" Target="media/image02.png"/><Relationship Id="rId7" Type="http://schemas.openxmlformats.org/officeDocument/2006/relationships/image" Target="media/image14.png"/></Relationships>
</file>