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8" w:rsidRPr="00D777B8" w:rsidRDefault="00E774BC">
      <w:pPr>
        <w:rPr>
          <w:rFonts w:asciiTheme="majorHAnsi" w:hAnsiTheme="majorHAnsi"/>
          <w:lang w:val="en-US"/>
        </w:rPr>
      </w:pPr>
      <w:r w:rsidRPr="00D777B8">
        <w:rPr>
          <w:rFonts w:asciiTheme="majorHAnsi" w:hAnsiTheme="majorHAnsi"/>
          <w:lang w:val="en-US"/>
        </w:rPr>
        <w:t>1. PUBLISHABLE SUMMARY</w:t>
      </w:r>
    </w:p>
    <w:p w:rsidR="00D777B8" w:rsidRPr="002C42C0" w:rsidRDefault="00D777B8" w:rsidP="00D777B8">
      <w:pPr>
        <w:ind w:firstLine="708"/>
        <w:jc w:val="both"/>
        <w:rPr>
          <w:rFonts w:ascii="Calibri" w:hAnsi="Calibri"/>
          <w:sz w:val="22"/>
          <w:lang w:val="en-US" w:eastAsia="ar-SA"/>
        </w:rPr>
      </w:pPr>
      <w:r w:rsidRPr="002C42C0">
        <w:rPr>
          <w:rFonts w:ascii="Calibri" w:hAnsi="Calibri"/>
          <w:sz w:val="22"/>
          <w:lang w:val="en-US" w:eastAsia="ar-SA"/>
        </w:rPr>
        <w:t xml:space="preserve">Coxsackie B viruses (CVB), which belong to the </w:t>
      </w:r>
      <w:r w:rsidRPr="002C42C0">
        <w:rPr>
          <w:rFonts w:ascii="Calibri" w:hAnsi="Calibri"/>
          <w:i/>
          <w:sz w:val="22"/>
          <w:lang w:val="en-US" w:eastAsia="ar-SA"/>
        </w:rPr>
        <w:t>Enterovirus</w:t>
      </w:r>
      <w:r>
        <w:rPr>
          <w:rFonts w:ascii="Calibri" w:hAnsi="Calibri"/>
          <w:sz w:val="22"/>
          <w:lang w:val="en-US" w:eastAsia="ar-SA"/>
        </w:rPr>
        <w:t xml:space="preserve"> </w:t>
      </w:r>
      <w:r w:rsidRPr="002C42C0">
        <w:rPr>
          <w:rFonts w:ascii="Calibri" w:hAnsi="Calibri"/>
          <w:sz w:val="22"/>
          <w:lang w:val="en-US" w:eastAsia="ar-SA"/>
        </w:rPr>
        <w:t xml:space="preserve">genus of the </w:t>
      </w:r>
      <w:r w:rsidRPr="002C42C0">
        <w:rPr>
          <w:rFonts w:ascii="Calibri" w:hAnsi="Calibri"/>
          <w:i/>
          <w:sz w:val="22"/>
          <w:lang w:val="en-US" w:eastAsia="ar-SA"/>
        </w:rPr>
        <w:t>Picornaviridae</w:t>
      </w:r>
      <w:r w:rsidRPr="002C42C0">
        <w:rPr>
          <w:rFonts w:ascii="Calibri" w:hAnsi="Calibri"/>
          <w:sz w:val="22"/>
          <w:lang w:val="en-US" w:eastAsia="ar-SA"/>
        </w:rPr>
        <w:t xml:space="preserve"> family, have non-enveloped icosahedral capsids composed of 60 copies each of the four structural proteins (VP1 to VP4), enclosing a single-stranded, positive-sense RNA genome of ~7,400 nucleotides. The genome consists of a single open reading frame encoding 11 mature proteins, flanked on both the 5' and 3' ends by t</w:t>
      </w:r>
      <w:r>
        <w:rPr>
          <w:rFonts w:ascii="Calibri" w:hAnsi="Calibri"/>
          <w:sz w:val="22"/>
          <w:lang w:val="en-US" w:eastAsia="ar-SA"/>
        </w:rPr>
        <w:t>wo non coding regions (NCRs)</w:t>
      </w:r>
      <w:r w:rsidRPr="002C42C0">
        <w:rPr>
          <w:rFonts w:ascii="Calibri" w:hAnsi="Calibri"/>
          <w:sz w:val="22"/>
          <w:lang w:val="en-US" w:eastAsia="ar-SA"/>
        </w:rPr>
        <w:t>. The enterovirus 5’ NCR</w:t>
      </w:r>
      <w:r>
        <w:rPr>
          <w:rFonts w:ascii="Calibri" w:hAnsi="Calibri"/>
          <w:sz w:val="22"/>
          <w:lang w:val="en-US" w:eastAsia="ar-SA"/>
        </w:rPr>
        <w:t xml:space="preserve"> </w:t>
      </w:r>
      <w:r w:rsidRPr="002C42C0">
        <w:rPr>
          <w:rFonts w:ascii="Calibri" w:hAnsi="Calibri"/>
          <w:sz w:val="22"/>
          <w:lang w:val="en-US" w:eastAsia="ar-SA"/>
        </w:rPr>
        <w:t>is ~750 nucleotides in length</w:t>
      </w:r>
      <w:r>
        <w:rPr>
          <w:rFonts w:ascii="Calibri" w:hAnsi="Calibri"/>
          <w:sz w:val="22"/>
          <w:lang w:val="en-US" w:eastAsia="ar-SA"/>
        </w:rPr>
        <w:t xml:space="preserve"> </w:t>
      </w:r>
      <w:r w:rsidRPr="002C42C0">
        <w:rPr>
          <w:rFonts w:ascii="Calibri" w:hAnsi="Calibri"/>
          <w:sz w:val="22"/>
          <w:lang w:val="en-US" w:eastAsia="ar-SA"/>
        </w:rPr>
        <w:t>and has several complex RNA secondary structures including an internal ribosome entry site (IRES) involved in cap-independent translation and a 5'</w:t>
      </w:r>
      <w:r>
        <w:rPr>
          <w:rFonts w:ascii="Calibri" w:hAnsi="Calibri"/>
          <w:sz w:val="22"/>
          <w:lang w:val="en-US" w:eastAsia="ar-SA"/>
        </w:rPr>
        <w:t xml:space="preserve"> </w:t>
      </w:r>
      <w:r w:rsidRPr="002C42C0">
        <w:rPr>
          <w:rFonts w:ascii="Calibri" w:hAnsi="Calibri"/>
          <w:sz w:val="22"/>
          <w:lang w:val="en-US" w:eastAsia="ar-SA"/>
        </w:rPr>
        <w:t>terminal cloverleaf or stem-loop I (S-L I) required for replication of the viral genome.</w:t>
      </w:r>
      <w:r>
        <w:rPr>
          <w:rFonts w:ascii="Calibri" w:hAnsi="Calibri"/>
          <w:sz w:val="22"/>
          <w:lang w:val="en-US" w:eastAsia="ar-SA"/>
        </w:rPr>
        <w:t xml:space="preserve"> </w:t>
      </w:r>
      <w:r w:rsidRPr="002C42C0">
        <w:rPr>
          <w:rFonts w:ascii="Calibri" w:hAnsi="Calibri"/>
          <w:sz w:val="22"/>
          <w:lang w:val="en-US" w:eastAsia="ar-SA"/>
        </w:rPr>
        <w:t>Stem-loop I includes approximately the first 110 nucleotides of the 5’ NCR</w:t>
      </w:r>
      <w:r>
        <w:rPr>
          <w:rFonts w:ascii="Calibri" w:hAnsi="Calibri"/>
          <w:sz w:val="22"/>
          <w:lang w:val="en-US" w:eastAsia="ar-SA"/>
        </w:rPr>
        <w:t xml:space="preserve"> </w:t>
      </w:r>
      <w:r w:rsidRPr="002C42C0">
        <w:rPr>
          <w:rFonts w:ascii="Calibri" w:hAnsi="Calibri"/>
          <w:sz w:val="22"/>
          <w:lang w:val="en-US" w:eastAsia="ar-SA"/>
        </w:rPr>
        <w:t>and is organized into one stem (a) and three stem-loop structures (b, c, d), which bind</w:t>
      </w:r>
      <w:r>
        <w:rPr>
          <w:rFonts w:ascii="Calibri" w:hAnsi="Calibri"/>
          <w:sz w:val="22"/>
          <w:lang w:val="en-US" w:eastAsia="ar-SA"/>
        </w:rPr>
        <w:t xml:space="preserve"> </w:t>
      </w:r>
      <w:r w:rsidRPr="002C42C0">
        <w:rPr>
          <w:rFonts w:ascii="Calibri" w:hAnsi="Calibri"/>
          <w:sz w:val="22"/>
          <w:lang w:val="en-US" w:eastAsia="ar-SA"/>
        </w:rPr>
        <w:t>cellular and viral proteins involved in virus RNA synthesis. In the cytoplasm of infected cells, cellular poly(rC)-binding protein 2 (PCBP2) and viral protein 3C</w:t>
      </w:r>
      <w:r>
        <w:rPr>
          <w:rFonts w:ascii="Calibri" w:hAnsi="Calibri"/>
          <w:sz w:val="22"/>
          <w:lang w:val="en-US" w:eastAsia="ar-SA"/>
        </w:rPr>
        <w:t>D</w:t>
      </w:r>
      <w:r w:rsidRPr="00DE2A8F">
        <w:rPr>
          <w:rFonts w:ascii="Calibri" w:hAnsi="Calibri"/>
          <w:sz w:val="22"/>
          <w:vertAlign w:val="superscript"/>
          <w:lang w:val="en-US" w:eastAsia="ar-SA"/>
        </w:rPr>
        <w:t>pro</w:t>
      </w:r>
      <w:r>
        <w:rPr>
          <w:rFonts w:ascii="Calibri" w:hAnsi="Calibri"/>
          <w:sz w:val="22"/>
          <w:lang w:val="en-US" w:eastAsia="ar-SA"/>
        </w:rPr>
        <w:t xml:space="preserve"> </w:t>
      </w:r>
      <w:r w:rsidRPr="002C42C0">
        <w:rPr>
          <w:rFonts w:ascii="Calibri" w:hAnsi="Calibri"/>
          <w:sz w:val="22"/>
          <w:lang w:val="en-US" w:eastAsia="ar-SA"/>
        </w:rPr>
        <w:t>bind,</w:t>
      </w:r>
      <w:r>
        <w:rPr>
          <w:rFonts w:ascii="Calibri" w:hAnsi="Calibri"/>
          <w:sz w:val="22"/>
          <w:lang w:val="en-US" w:eastAsia="ar-SA"/>
        </w:rPr>
        <w:t xml:space="preserve"> </w:t>
      </w:r>
      <w:r w:rsidRPr="002C42C0">
        <w:rPr>
          <w:rFonts w:ascii="Calibri" w:hAnsi="Calibri"/>
          <w:sz w:val="22"/>
          <w:lang w:val="en-US" w:eastAsia="ar-SA"/>
        </w:rPr>
        <w:t>respectively,</w:t>
      </w:r>
      <w:r>
        <w:rPr>
          <w:rFonts w:ascii="Calibri" w:hAnsi="Calibri"/>
          <w:sz w:val="22"/>
          <w:lang w:val="en-US" w:eastAsia="ar-SA"/>
        </w:rPr>
        <w:t xml:space="preserve"> </w:t>
      </w:r>
      <w:r w:rsidRPr="002C42C0">
        <w:rPr>
          <w:rFonts w:ascii="Calibri" w:hAnsi="Calibri"/>
          <w:sz w:val="22"/>
          <w:lang w:val="en-US" w:eastAsia="ar-SA"/>
        </w:rPr>
        <w:t>stem-loops b and d</w:t>
      </w:r>
      <w:r>
        <w:rPr>
          <w:rFonts w:ascii="Calibri" w:hAnsi="Calibri"/>
          <w:sz w:val="22"/>
          <w:lang w:val="en-US" w:eastAsia="ar-SA"/>
        </w:rPr>
        <w:t xml:space="preserve"> </w:t>
      </w:r>
      <w:r w:rsidRPr="002C42C0">
        <w:rPr>
          <w:rFonts w:ascii="Calibri" w:hAnsi="Calibri"/>
          <w:sz w:val="22"/>
          <w:lang w:val="en-US" w:eastAsia="ar-SA"/>
        </w:rPr>
        <w:t>of stem-loop I</w:t>
      </w:r>
      <w:r>
        <w:rPr>
          <w:rFonts w:ascii="Calibri" w:hAnsi="Calibri"/>
          <w:sz w:val="22"/>
          <w:lang w:val="en-US" w:eastAsia="ar-SA"/>
        </w:rPr>
        <w:t xml:space="preserve"> </w:t>
      </w:r>
      <w:r w:rsidRPr="002C42C0">
        <w:rPr>
          <w:rFonts w:ascii="Calibri" w:hAnsi="Calibri"/>
          <w:sz w:val="22"/>
          <w:lang w:val="en-US" w:eastAsia="ar-SA"/>
        </w:rPr>
        <w:t>at the 5’ end of the enterovirus genome to form a ribonucleoprotein complex required for the initiation of anti-genomic,</w:t>
      </w:r>
      <w:r>
        <w:rPr>
          <w:rFonts w:ascii="Calibri" w:hAnsi="Calibri"/>
          <w:sz w:val="22"/>
          <w:lang w:val="en-US" w:eastAsia="ar-SA"/>
        </w:rPr>
        <w:t xml:space="preserve"> </w:t>
      </w:r>
      <w:r w:rsidRPr="002C42C0">
        <w:rPr>
          <w:rFonts w:ascii="Calibri" w:hAnsi="Calibri"/>
          <w:sz w:val="22"/>
          <w:lang w:val="en-US" w:eastAsia="ar-SA"/>
        </w:rPr>
        <w:t>negative-strand RNA synthesis as well as genomic positive-strand RNA synthesis</w:t>
      </w:r>
      <w:r w:rsidR="00B43612">
        <w:rPr>
          <w:rFonts w:ascii="Calibri" w:hAnsi="Calibri"/>
          <w:sz w:val="22"/>
          <w:lang w:val="en-US" w:eastAsia="ar-SA"/>
        </w:rPr>
        <w:t xml:space="preserve"> (Figure 1)</w:t>
      </w:r>
      <w:r w:rsidRPr="002C42C0">
        <w:rPr>
          <w:rFonts w:ascii="Calibri" w:hAnsi="Calibri"/>
          <w:sz w:val="22"/>
          <w:lang w:val="en-US" w:eastAsia="ar-SA"/>
        </w:rPr>
        <w:t>. PCBP2 also binds to a C-rich stretch of nucleotides located 3’ of the stem ‘a’ in S-L I.In turn, heterogeneous nuclear ribonucleoprotein C (hnRNPC) is thought to bind to the cloverleaf at the 3' end of anti-genomic</w:t>
      </w:r>
      <w:r>
        <w:rPr>
          <w:rFonts w:ascii="Calibri" w:hAnsi="Calibri"/>
          <w:sz w:val="22"/>
          <w:lang w:val="en-US" w:eastAsia="ar-SA"/>
        </w:rPr>
        <w:t xml:space="preserve"> </w:t>
      </w:r>
      <w:r w:rsidRPr="002C42C0">
        <w:rPr>
          <w:rFonts w:ascii="Calibri" w:hAnsi="Calibri"/>
          <w:sz w:val="22"/>
          <w:lang w:val="en-US" w:eastAsia="ar-SA"/>
        </w:rPr>
        <w:t>(negative-strand) viral RNA to facilitate the initiation of positi</w:t>
      </w:r>
      <w:r>
        <w:rPr>
          <w:rFonts w:ascii="Calibri" w:hAnsi="Calibri"/>
          <w:sz w:val="22"/>
          <w:lang w:val="en-US" w:eastAsia="ar-SA"/>
        </w:rPr>
        <w:t>ve-strand genomic RNA synthesis</w:t>
      </w:r>
      <w:r w:rsidRPr="002C42C0">
        <w:rPr>
          <w:rFonts w:ascii="Calibri" w:hAnsi="Calibri"/>
          <w:sz w:val="22"/>
          <w:lang w:val="en-US" w:eastAsia="ar-SA"/>
        </w:rPr>
        <w:t>.</w:t>
      </w:r>
      <w:r>
        <w:rPr>
          <w:rFonts w:ascii="Calibri" w:hAnsi="Calibri"/>
          <w:sz w:val="22"/>
          <w:lang w:val="en-US" w:eastAsia="ar-SA"/>
        </w:rPr>
        <w:t xml:space="preserve"> </w:t>
      </w:r>
      <w:r w:rsidRPr="002C42C0">
        <w:rPr>
          <w:rFonts w:ascii="Calibri" w:hAnsi="Calibri"/>
          <w:sz w:val="22"/>
          <w:lang w:val="en-US" w:eastAsia="ar-SA"/>
        </w:rPr>
        <w:t>These newly-synthesized positive-strand RNAs are either used as messenger RNAs for further rounds of translation and RNA replication or as genomic RNAs packaged into virions for subsequent</w:t>
      </w:r>
      <w:r>
        <w:rPr>
          <w:rFonts w:ascii="Calibri" w:hAnsi="Calibri"/>
          <w:sz w:val="22"/>
          <w:lang w:val="en-US" w:eastAsia="ar-SA"/>
        </w:rPr>
        <w:t xml:space="preserve"> </w:t>
      </w:r>
      <w:r w:rsidRPr="002C42C0">
        <w:rPr>
          <w:rFonts w:ascii="Calibri" w:hAnsi="Calibri"/>
          <w:sz w:val="22"/>
          <w:lang w:val="en-US" w:eastAsia="ar-SA"/>
        </w:rPr>
        <w:t>rounds of infection.</w:t>
      </w:r>
    </w:p>
    <w:p w:rsidR="00D777B8" w:rsidRPr="002C42C0" w:rsidRDefault="00D777B8" w:rsidP="00D777B8">
      <w:pPr>
        <w:ind w:firstLine="708"/>
        <w:jc w:val="both"/>
        <w:rPr>
          <w:rFonts w:ascii="Calibri" w:hAnsi="Calibri"/>
          <w:sz w:val="22"/>
          <w:lang w:val="en-US" w:eastAsia="ar-SA"/>
        </w:rPr>
      </w:pPr>
      <w:r w:rsidRPr="002C42C0">
        <w:rPr>
          <w:rFonts w:ascii="Calibri" w:hAnsi="Calibri"/>
          <w:sz w:val="22"/>
          <w:lang w:val="en-US" w:eastAsia="ar-SA"/>
        </w:rPr>
        <w:t>The CVBs</w:t>
      </w:r>
      <w:r>
        <w:rPr>
          <w:rFonts w:ascii="Calibri" w:hAnsi="Calibri"/>
          <w:sz w:val="22"/>
          <w:lang w:val="en-US" w:eastAsia="ar-SA"/>
        </w:rPr>
        <w:t xml:space="preserve"> </w:t>
      </w:r>
      <w:r w:rsidRPr="002C42C0">
        <w:rPr>
          <w:rFonts w:ascii="Calibri" w:hAnsi="Calibri"/>
          <w:sz w:val="22"/>
          <w:lang w:val="en-US" w:eastAsia="ar-SA"/>
        </w:rPr>
        <w:t>are common human pathogens, transmitted through fecal-oral and respiratory routes, and</w:t>
      </w:r>
      <w:r>
        <w:rPr>
          <w:rFonts w:ascii="Calibri" w:hAnsi="Calibri"/>
          <w:sz w:val="22"/>
          <w:lang w:val="en-US" w:eastAsia="ar-SA"/>
        </w:rPr>
        <w:t xml:space="preserve"> </w:t>
      </w:r>
      <w:r w:rsidRPr="002C42C0">
        <w:rPr>
          <w:rFonts w:ascii="Calibri" w:hAnsi="Calibri"/>
          <w:sz w:val="22"/>
          <w:lang w:val="en-US" w:eastAsia="ar-SA"/>
        </w:rPr>
        <w:t>are considered as</w:t>
      </w:r>
      <w:r>
        <w:rPr>
          <w:rFonts w:ascii="Calibri" w:hAnsi="Calibri"/>
          <w:sz w:val="22"/>
          <w:lang w:val="en-US" w:eastAsia="ar-SA"/>
        </w:rPr>
        <w:t xml:space="preserve"> </w:t>
      </w:r>
      <w:r w:rsidRPr="002C42C0">
        <w:rPr>
          <w:rFonts w:ascii="Calibri" w:hAnsi="Calibri"/>
          <w:sz w:val="22"/>
          <w:lang w:val="en-US" w:eastAsia="ar-SA"/>
        </w:rPr>
        <w:t>the main cause of acute myocarditis in children and young adults in developed countries. Following the acute phase, myocarditis can become chronic and evolve toward the clinical end-stage of dilated cardiomyopathy (DCM), in which the heart becomes enlarged and its systolic function is impaired,</w:t>
      </w:r>
      <w:r>
        <w:rPr>
          <w:rFonts w:ascii="Calibri" w:hAnsi="Calibri"/>
          <w:sz w:val="22"/>
          <w:lang w:val="en-US" w:eastAsia="ar-SA"/>
        </w:rPr>
        <w:t xml:space="preserve"> </w:t>
      </w:r>
      <w:r w:rsidRPr="002C42C0">
        <w:rPr>
          <w:rFonts w:ascii="Calibri" w:hAnsi="Calibri"/>
          <w:sz w:val="22"/>
          <w:lang w:val="en-US" w:eastAsia="ar-SA"/>
        </w:rPr>
        <w:t>leading to heart transplantation. During the progression of disease from acute myocarditis to DCM, the virus can be detected in the myocardium.</w:t>
      </w:r>
      <w:r>
        <w:rPr>
          <w:rFonts w:ascii="Calibri" w:hAnsi="Calibri"/>
          <w:sz w:val="22"/>
          <w:lang w:val="en-US" w:eastAsia="ar-SA"/>
        </w:rPr>
        <w:t xml:space="preserve"> </w:t>
      </w:r>
      <w:r w:rsidRPr="002C42C0">
        <w:rPr>
          <w:rFonts w:ascii="Calibri" w:hAnsi="Calibri"/>
          <w:sz w:val="22"/>
          <w:lang w:val="en-US" w:eastAsia="ar-SA"/>
        </w:rPr>
        <w:t>A correlation between enterovirus replication and</w:t>
      </w:r>
      <w:r>
        <w:rPr>
          <w:rFonts w:ascii="Calibri" w:hAnsi="Calibri"/>
          <w:sz w:val="22"/>
          <w:lang w:val="en-US" w:eastAsia="ar-SA"/>
        </w:rPr>
        <w:t xml:space="preserve"> </w:t>
      </w:r>
      <w:r w:rsidRPr="002C42C0">
        <w:rPr>
          <w:rFonts w:ascii="Calibri" w:hAnsi="Calibri"/>
          <w:sz w:val="22"/>
          <w:lang w:val="en-US" w:eastAsia="ar-SA"/>
        </w:rPr>
        <w:t>poor</w:t>
      </w:r>
      <w:r>
        <w:rPr>
          <w:rFonts w:ascii="Calibri" w:hAnsi="Calibri"/>
          <w:sz w:val="22"/>
          <w:lang w:val="en-US" w:eastAsia="ar-SA"/>
        </w:rPr>
        <w:t xml:space="preserve"> </w:t>
      </w:r>
      <w:r w:rsidRPr="002C42C0">
        <w:rPr>
          <w:rFonts w:ascii="Calibri" w:hAnsi="Calibri"/>
          <w:sz w:val="22"/>
          <w:lang w:val="en-US" w:eastAsia="ar-SA"/>
        </w:rPr>
        <w:t>clinical outcomes</w:t>
      </w:r>
      <w:r>
        <w:rPr>
          <w:rFonts w:ascii="Calibri" w:hAnsi="Calibri"/>
          <w:sz w:val="22"/>
          <w:lang w:val="en-US" w:eastAsia="ar-SA"/>
        </w:rPr>
        <w:t xml:space="preserve"> </w:t>
      </w:r>
      <w:r w:rsidRPr="002C42C0">
        <w:rPr>
          <w:rFonts w:ascii="Calibri" w:hAnsi="Calibri"/>
          <w:sz w:val="22"/>
          <w:lang w:val="en-US" w:eastAsia="ar-SA"/>
        </w:rPr>
        <w:t>has been demonstrated,suggesting that continued virus replication is involved in the progression of the disease. Moreover, expression of viral 2A proteinase</w:t>
      </w:r>
      <w:r>
        <w:rPr>
          <w:rFonts w:ascii="Calibri" w:hAnsi="Calibri"/>
          <w:sz w:val="22"/>
          <w:lang w:val="en-US" w:eastAsia="ar-SA"/>
        </w:rPr>
        <w:t xml:space="preserve"> </w:t>
      </w:r>
      <w:r w:rsidRPr="002C42C0">
        <w:rPr>
          <w:rFonts w:ascii="Calibri" w:hAnsi="Calibri"/>
          <w:sz w:val="22"/>
          <w:lang w:val="en-US" w:eastAsia="ar-SA"/>
        </w:rPr>
        <w:t>alone in a murine model of CVB3 myocarditis has been shown to generate</w:t>
      </w:r>
      <w:r>
        <w:rPr>
          <w:rFonts w:ascii="Calibri" w:hAnsi="Calibri"/>
          <w:sz w:val="22"/>
          <w:lang w:val="en-US" w:eastAsia="ar-SA"/>
        </w:rPr>
        <w:t xml:space="preserve"> </w:t>
      </w:r>
      <w:r w:rsidRPr="002C42C0">
        <w:rPr>
          <w:rFonts w:ascii="Calibri" w:hAnsi="Calibri"/>
          <w:sz w:val="22"/>
          <w:lang w:val="en-US" w:eastAsia="ar-SA"/>
        </w:rPr>
        <w:t>dilated cardiomyopathy. Expression of 2A can cause significant impairment of cardiomyocyte function through proteolytic cleavage of dystrophin,</w:t>
      </w:r>
      <w:r>
        <w:rPr>
          <w:rFonts w:ascii="Calibri" w:hAnsi="Calibri"/>
          <w:sz w:val="22"/>
          <w:lang w:val="en-US" w:eastAsia="ar-SA"/>
        </w:rPr>
        <w:t xml:space="preserve"> </w:t>
      </w:r>
      <w:r w:rsidRPr="002C42C0">
        <w:rPr>
          <w:rFonts w:ascii="Calibri" w:hAnsi="Calibri"/>
          <w:sz w:val="22"/>
          <w:lang w:val="en-US" w:eastAsia="ar-SA"/>
        </w:rPr>
        <w:t>resulting in a decrease in cell contractility, an increase in membrane permeability, and a focal spread of the virus to adjacent cells.</w:t>
      </w:r>
      <w:r>
        <w:rPr>
          <w:rFonts w:ascii="Calibri" w:hAnsi="Calibri"/>
          <w:sz w:val="22"/>
          <w:lang w:val="en-US" w:eastAsia="ar-SA"/>
        </w:rPr>
        <w:t xml:space="preserve"> </w:t>
      </w:r>
      <w:r w:rsidRPr="002C42C0">
        <w:rPr>
          <w:rFonts w:ascii="Calibri" w:hAnsi="Calibri"/>
          <w:sz w:val="22"/>
          <w:lang w:val="en-US" w:eastAsia="ar-SA"/>
        </w:rPr>
        <w:t>However, the molecular mechanisms by which the virus can persist in the heart from acute myocarditis to DCM</w:t>
      </w:r>
      <w:r>
        <w:rPr>
          <w:rFonts w:ascii="Calibri" w:hAnsi="Calibri"/>
          <w:sz w:val="22"/>
          <w:lang w:val="en-US" w:eastAsia="ar-SA"/>
        </w:rPr>
        <w:t xml:space="preserve"> </w:t>
      </w:r>
      <w:r w:rsidRPr="002C42C0">
        <w:rPr>
          <w:rFonts w:ascii="Calibri" w:hAnsi="Calibri"/>
          <w:sz w:val="22"/>
          <w:lang w:val="en-US" w:eastAsia="ar-SA"/>
        </w:rPr>
        <w:t>are poorly understood, thereby limiting the development of new specific therapeutic strategies.</w:t>
      </w:r>
    </w:p>
    <w:p w:rsidR="00D777B8" w:rsidRPr="002C42C0" w:rsidRDefault="00D777B8" w:rsidP="00D777B8">
      <w:pPr>
        <w:ind w:firstLine="708"/>
        <w:jc w:val="both"/>
        <w:rPr>
          <w:rFonts w:ascii="Calibri" w:hAnsi="Calibri"/>
          <w:sz w:val="22"/>
          <w:lang w:val="en-US" w:eastAsia="ar-SA"/>
        </w:rPr>
      </w:pPr>
      <w:r w:rsidRPr="002C42C0">
        <w:rPr>
          <w:rFonts w:ascii="Calibri" w:hAnsi="Calibri"/>
          <w:sz w:val="22"/>
          <w:lang w:val="en-US" w:eastAsia="ar-SA"/>
        </w:rPr>
        <w:t>Recently, Bouin and colleagues reported CVB3 strains harboring 5’ terminal genomic RNA deletions, ranging from 15 to 48 nucleotides in length, in explanted heart tissue collected from a 47-year-old immunocompetent woman suffering from idiopathic DCM. These terminal deletions, which partially removed</w:t>
      </w:r>
      <w:r>
        <w:rPr>
          <w:rFonts w:ascii="Calibri" w:hAnsi="Calibri"/>
          <w:sz w:val="22"/>
          <w:lang w:val="en-US" w:eastAsia="ar-SA"/>
        </w:rPr>
        <w:t xml:space="preserve"> </w:t>
      </w:r>
      <w:r w:rsidRPr="002C42C0">
        <w:rPr>
          <w:rFonts w:ascii="Calibri" w:hAnsi="Calibri"/>
          <w:sz w:val="22"/>
          <w:lang w:val="en-US" w:eastAsia="ar-SA"/>
        </w:rPr>
        <w:t>the 5’S-L I, mirrored results previously obtained by Chapman and colleagues, who demonstrated that terminally deleted (TD) mutations can occur in a patient naturally infected with CVB2 and suffering from fulminant myocarditis, in the heart and the pancreas of mice inoculated with wild-type CVB3, and during CVB3 passages in primary cell cultures. However, these recent findings showed for the first time the existence of terminally deleted (TD) CVB genomic RNA populations in a patient suffering from chronic cardiomyopathy.</w:t>
      </w:r>
    </w:p>
    <w:p w:rsidR="00D777B8" w:rsidRPr="002C42C0" w:rsidRDefault="00D777B8" w:rsidP="00D777B8">
      <w:pPr>
        <w:ind w:firstLine="708"/>
        <w:jc w:val="both"/>
        <w:rPr>
          <w:rFonts w:ascii="Calibri" w:hAnsi="Calibri"/>
          <w:sz w:val="22"/>
          <w:lang w:val="en-US" w:eastAsia="ar-SA"/>
        </w:rPr>
      </w:pPr>
      <w:r w:rsidRPr="002C42C0">
        <w:rPr>
          <w:rFonts w:ascii="Calibri" w:hAnsi="Calibri"/>
          <w:sz w:val="22"/>
          <w:lang w:val="en-US" w:eastAsia="ar-SA"/>
        </w:rPr>
        <w:t>Deletions involving sequences within the 5’S-L Istructure of genomic RNAs are known to cause profound changes in viral biology by reducing viral replication,when compared to wild-type viruses.</w:t>
      </w:r>
      <w:r>
        <w:rPr>
          <w:rFonts w:ascii="Calibri" w:hAnsi="Calibri"/>
          <w:sz w:val="22"/>
          <w:lang w:val="en-US" w:eastAsia="ar-SA"/>
        </w:rPr>
        <w:t xml:space="preserve"> </w:t>
      </w:r>
      <w:r w:rsidRPr="002C42C0">
        <w:rPr>
          <w:rFonts w:ascii="Calibri" w:hAnsi="Calibri"/>
          <w:sz w:val="22"/>
          <w:lang w:val="en-US" w:eastAsia="ar-SA"/>
        </w:rPr>
        <w:t>Indeed, the discovery of TD mutations in heart biopsies was associated with low viral load and abnormal positive- to negative-strand viral RNA ratios, close to one rather than the high ratios (30 to 70) normally seen in enterovirus-infected cellswith wild-type viruses.</w:t>
      </w:r>
      <w:r>
        <w:rPr>
          <w:rFonts w:ascii="Calibri" w:hAnsi="Calibri"/>
          <w:sz w:val="22"/>
          <w:lang w:val="en-US" w:eastAsia="ar-SA"/>
        </w:rPr>
        <w:t xml:space="preserve"> </w:t>
      </w:r>
      <w:r w:rsidRPr="002C42C0">
        <w:rPr>
          <w:rFonts w:ascii="Calibri" w:hAnsi="Calibri"/>
          <w:sz w:val="22"/>
          <w:lang w:val="en-US" w:eastAsia="ar-SA"/>
        </w:rPr>
        <w:t>Moreover, TD variants of CVB3 replicate in both cell culture and tissues from experimentally-inoculated mice and from naturally infected humans without apparent cytopathic effect. Overall, 5’ terminal deletions</w:t>
      </w:r>
      <w:r>
        <w:rPr>
          <w:rFonts w:ascii="Calibri" w:hAnsi="Calibri"/>
          <w:sz w:val="22"/>
          <w:lang w:val="en-US" w:eastAsia="ar-SA"/>
        </w:rPr>
        <w:t xml:space="preserve"> </w:t>
      </w:r>
      <w:r w:rsidRPr="002C42C0">
        <w:rPr>
          <w:rFonts w:ascii="Calibri" w:hAnsi="Calibri"/>
          <w:sz w:val="22"/>
          <w:lang w:val="en-US" w:eastAsia="ar-SA"/>
        </w:rPr>
        <w:t>within genomic RNAs could be a mechanism by which CVB can persist covertly</w:t>
      </w:r>
      <w:r>
        <w:rPr>
          <w:rFonts w:ascii="Calibri" w:hAnsi="Calibri"/>
          <w:sz w:val="22"/>
          <w:lang w:val="en-US" w:eastAsia="ar-SA"/>
        </w:rPr>
        <w:t xml:space="preserve"> </w:t>
      </w:r>
      <w:r w:rsidRPr="002C42C0">
        <w:rPr>
          <w:rFonts w:ascii="Calibri" w:hAnsi="Calibri"/>
          <w:sz w:val="22"/>
          <w:lang w:val="en-US" w:eastAsia="ar-SA"/>
        </w:rPr>
        <w:t>in the heart long after the acute infection cycle with limited,</w:t>
      </w:r>
      <w:r>
        <w:rPr>
          <w:rFonts w:ascii="Calibri" w:hAnsi="Calibri"/>
          <w:sz w:val="22"/>
          <w:lang w:val="en-US" w:eastAsia="ar-SA"/>
        </w:rPr>
        <w:t xml:space="preserve"> </w:t>
      </w:r>
      <w:r w:rsidRPr="002C42C0">
        <w:rPr>
          <w:rFonts w:ascii="Calibri" w:hAnsi="Calibri"/>
          <w:sz w:val="22"/>
          <w:lang w:val="en-US" w:eastAsia="ar-SA"/>
        </w:rPr>
        <w:t>but progressive,</w:t>
      </w:r>
      <w:r>
        <w:rPr>
          <w:rFonts w:ascii="Calibri" w:hAnsi="Calibri"/>
          <w:sz w:val="22"/>
          <w:lang w:val="en-US" w:eastAsia="ar-SA"/>
        </w:rPr>
        <w:t xml:space="preserve"> </w:t>
      </w:r>
      <w:r w:rsidRPr="002C42C0">
        <w:rPr>
          <w:rFonts w:ascii="Calibri" w:hAnsi="Calibri"/>
          <w:sz w:val="22"/>
          <w:lang w:val="en-US" w:eastAsia="ar-SA"/>
        </w:rPr>
        <w:t>damage to the myocardium.</w:t>
      </w:r>
      <w:r>
        <w:rPr>
          <w:rFonts w:ascii="Calibri" w:hAnsi="Calibri"/>
          <w:sz w:val="22"/>
          <w:lang w:val="en-US" w:eastAsia="ar-SA"/>
        </w:rPr>
        <w:t xml:space="preserve"> </w:t>
      </w:r>
      <w:r w:rsidRPr="002C42C0">
        <w:rPr>
          <w:rFonts w:ascii="Calibri" w:hAnsi="Calibri"/>
          <w:sz w:val="22"/>
          <w:lang w:val="en-US" w:eastAsia="ar-SA"/>
        </w:rPr>
        <w:t xml:space="preserve">A prolonged, </w:t>
      </w:r>
      <w:r w:rsidRPr="002C42C0">
        <w:rPr>
          <w:rFonts w:ascii="Calibri" w:hAnsi="Calibri"/>
          <w:sz w:val="22"/>
          <w:lang w:val="en-US" w:eastAsia="ar-SA"/>
        </w:rPr>
        <w:lastRenderedPageBreak/>
        <w:t>persistent viral infection could</w:t>
      </w:r>
      <w:r>
        <w:rPr>
          <w:rFonts w:ascii="Calibri" w:hAnsi="Calibri"/>
          <w:sz w:val="22"/>
          <w:lang w:val="en-US" w:eastAsia="ar-SA"/>
        </w:rPr>
        <w:t xml:space="preserve"> </w:t>
      </w:r>
      <w:r w:rsidRPr="002C42C0">
        <w:rPr>
          <w:rFonts w:ascii="Calibri" w:hAnsi="Calibri"/>
          <w:sz w:val="22"/>
          <w:lang w:val="en-US" w:eastAsia="ar-SA"/>
        </w:rPr>
        <w:t xml:space="preserve">then explain how chronic cardiomyopathies develop </w:t>
      </w:r>
      <w:r w:rsidRPr="00DE2A8F">
        <w:rPr>
          <w:rFonts w:ascii="Calibri" w:hAnsi="Calibri"/>
          <w:i/>
          <w:sz w:val="22"/>
          <w:lang w:val="en-US" w:eastAsia="ar-SA"/>
        </w:rPr>
        <w:t>via</w:t>
      </w:r>
      <w:r>
        <w:rPr>
          <w:rFonts w:ascii="Calibri" w:hAnsi="Calibri"/>
          <w:sz w:val="22"/>
          <w:lang w:val="en-US" w:eastAsia="ar-SA"/>
        </w:rPr>
        <w:t xml:space="preserve"> </w:t>
      </w:r>
      <w:r w:rsidRPr="002C42C0">
        <w:rPr>
          <w:rFonts w:ascii="Calibri" w:hAnsi="Calibri"/>
          <w:sz w:val="22"/>
          <w:lang w:val="en-US" w:eastAsia="ar-SA"/>
        </w:rPr>
        <w:t>the continuous synthesis of viral proteins with pro-apoptotic, immuno-modulating, or other harmful activities for cardiac cell structures and functions.</w:t>
      </w:r>
    </w:p>
    <w:p w:rsidR="00D777B8" w:rsidRPr="002C42C0" w:rsidRDefault="00D777B8" w:rsidP="00D777B8">
      <w:pPr>
        <w:ind w:firstLine="708"/>
        <w:jc w:val="both"/>
        <w:rPr>
          <w:rFonts w:ascii="Calibri" w:hAnsi="Calibri"/>
          <w:sz w:val="22"/>
          <w:lang w:val="en-US" w:eastAsia="ar-SA"/>
        </w:rPr>
      </w:pPr>
      <w:r w:rsidRPr="002C42C0">
        <w:rPr>
          <w:rFonts w:ascii="Calibri" w:hAnsi="Calibri"/>
          <w:sz w:val="22"/>
          <w:lang w:val="en-US" w:eastAsia="ar-SA"/>
        </w:rPr>
        <w:t>To date, translation and RNA replication of 5’ terminally deleted CVB3 in a cardiac cell model have not been studied.</w:t>
      </w:r>
      <w:r>
        <w:rPr>
          <w:rFonts w:ascii="Calibri" w:hAnsi="Calibri"/>
          <w:sz w:val="22"/>
          <w:lang w:val="en-US" w:eastAsia="ar-SA"/>
        </w:rPr>
        <w:t xml:space="preserve"> </w:t>
      </w:r>
      <w:r w:rsidRPr="002C42C0">
        <w:rPr>
          <w:rFonts w:ascii="Calibri" w:hAnsi="Calibri"/>
          <w:sz w:val="22"/>
          <w:lang w:val="en-US" w:eastAsia="ar-SA"/>
        </w:rPr>
        <w:t xml:space="preserve">Moreover, the mechanism by which deletions within the 5’ S-L I affect the replication of the viral RNA is still unknown. The aim of this study was to assess in vitro the consequences of the 5’ S-L I deletions observed </w:t>
      </w:r>
      <w:r w:rsidRPr="009A37B8">
        <w:rPr>
          <w:rFonts w:ascii="Calibri" w:hAnsi="Calibri"/>
          <w:i/>
          <w:sz w:val="22"/>
          <w:lang w:val="en-US" w:eastAsia="ar-SA"/>
        </w:rPr>
        <w:t>in vivo</w:t>
      </w:r>
      <w:r>
        <w:rPr>
          <w:rFonts w:ascii="Calibri" w:hAnsi="Calibri"/>
          <w:sz w:val="22"/>
          <w:lang w:val="en-US" w:eastAsia="ar-SA"/>
        </w:rPr>
        <w:t xml:space="preserve"> </w:t>
      </w:r>
      <w:r w:rsidRPr="002C42C0">
        <w:rPr>
          <w:rFonts w:ascii="Calibri" w:hAnsi="Calibri"/>
          <w:sz w:val="22"/>
          <w:lang w:val="en-US" w:eastAsia="ar-SA"/>
        </w:rPr>
        <w:t>on CVB3 replication. Using cell-free extracts of uninfected HeLa cells and cell culture transfection of luciferase replicons in two types of cardiac myocytes,</w:t>
      </w:r>
      <w:r>
        <w:rPr>
          <w:rFonts w:ascii="Calibri" w:hAnsi="Calibri"/>
          <w:sz w:val="22"/>
          <w:lang w:val="en-US" w:eastAsia="ar-SA"/>
        </w:rPr>
        <w:t xml:space="preserve"> </w:t>
      </w:r>
      <w:r w:rsidRPr="002C42C0">
        <w:rPr>
          <w:rFonts w:ascii="Calibri" w:hAnsi="Calibri"/>
          <w:sz w:val="22"/>
          <w:lang w:val="en-US" w:eastAsia="ar-SA"/>
        </w:rPr>
        <w:t>we evaluated translation and RNA replication of full-length and 5’ terminally deleted CVB3 RNAs. These experiments demonstrated that CVB3 RNAs harboring 5’ terminal deletions from 8 to 49 nucleotides can be translated as efficiently as those of wild-type strains</w:t>
      </w:r>
      <w:r w:rsidR="00B43612">
        <w:rPr>
          <w:rFonts w:ascii="Calibri" w:hAnsi="Calibri"/>
          <w:sz w:val="22"/>
          <w:lang w:val="en-US" w:eastAsia="ar-SA"/>
        </w:rPr>
        <w:t xml:space="preserve"> (Figure 2)</w:t>
      </w:r>
      <w:r w:rsidRPr="002C42C0">
        <w:rPr>
          <w:rFonts w:ascii="Calibri" w:hAnsi="Calibri"/>
          <w:sz w:val="22"/>
          <w:lang w:val="en-US" w:eastAsia="ar-SA"/>
        </w:rPr>
        <w:t>.</w:t>
      </w:r>
      <w:r>
        <w:rPr>
          <w:rFonts w:ascii="Calibri" w:hAnsi="Calibri"/>
          <w:sz w:val="22"/>
          <w:lang w:val="en-US" w:eastAsia="ar-SA"/>
        </w:rPr>
        <w:t xml:space="preserve"> </w:t>
      </w:r>
      <w:r w:rsidRPr="002C42C0">
        <w:rPr>
          <w:rFonts w:ascii="Calibri" w:hAnsi="Calibri"/>
          <w:sz w:val="22"/>
          <w:lang w:val="en-US" w:eastAsia="ar-SA"/>
        </w:rPr>
        <w:t>However, transfection of reporters RNAs harboring these deletions</w:t>
      </w:r>
      <w:r>
        <w:rPr>
          <w:rFonts w:ascii="Calibri" w:hAnsi="Calibri"/>
          <w:sz w:val="22"/>
          <w:lang w:val="en-US" w:eastAsia="ar-SA"/>
        </w:rPr>
        <w:t xml:space="preserve"> </w:t>
      </w:r>
      <w:r w:rsidRPr="002C42C0">
        <w:rPr>
          <w:rFonts w:ascii="Calibri" w:hAnsi="Calibri"/>
          <w:sz w:val="22"/>
          <w:lang w:val="en-US" w:eastAsia="ar-SA"/>
        </w:rPr>
        <w:t>into cultured cardiomyocytes demonstrated a loss of detectable RNA amplification signal beyond the translation of input RNAs</w:t>
      </w:r>
      <w:r w:rsidR="00B43612">
        <w:rPr>
          <w:rFonts w:ascii="Calibri" w:hAnsi="Calibri"/>
          <w:sz w:val="22"/>
          <w:lang w:val="en-US" w:eastAsia="ar-SA"/>
        </w:rPr>
        <w:t xml:space="preserve"> (Figure 3-5)</w:t>
      </w:r>
      <w:r w:rsidRPr="002C42C0">
        <w:rPr>
          <w:rFonts w:ascii="Calibri" w:hAnsi="Calibri"/>
          <w:sz w:val="22"/>
          <w:lang w:val="en-US" w:eastAsia="ar-SA"/>
        </w:rPr>
        <w:t xml:space="preserve">. Replication experiments </w:t>
      </w:r>
      <w:r w:rsidRPr="009A37B8">
        <w:rPr>
          <w:rFonts w:ascii="Calibri" w:hAnsi="Calibri"/>
          <w:i/>
          <w:sz w:val="22"/>
          <w:lang w:val="en-US" w:eastAsia="ar-SA"/>
        </w:rPr>
        <w:t>in vitro</w:t>
      </w:r>
      <w:r w:rsidRPr="002C42C0">
        <w:rPr>
          <w:rFonts w:ascii="Calibri" w:hAnsi="Calibri"/>
          <w:sz w:val="22"/>
          <w:lang w:val="en-US" w:eastAsia="ar-SA"/>
        </w:rPr>
        <w:t xml:space="preserve"> in cell free HeLa cell extracts confirmed these findings, showing greatly reduced levels of negative- and positive-strand RNA synthesis in each of the terminally-deleted RNAs. Among the terminally deleted CVB3 RNAs tested, RNA synthesis was observed only for the ones</w:t>
      </w:r>
      <w:r>
        <w:rPr>
          <w:rFonts w:ascii="Calibri" w:hAnsi="Calibri"/>
          <w:sz w:val="22"/>
          <w:lang w:val="en-US" w:eastAsia="ar-SA"/>
        </w:rPr>
        <w:t xml:space="preserve"> </w:t>
      </w:r>
      <w:r w:rsidRPr="002C42C0">
        <w:rPr>
          <w:rFonts w:ascii="Calibri" w:hAnsi="Calibri"/>
          <w:sz w:val="22"/>
          <w:lang w:val="en-US" w:eastAsia="ar-SA"/>
        </w:rPr>
        <w:t>harboring deletions of either 8 or 21 nucleotides.</w:t>
      </w:r>
      <w:r>
        <w:rPr>
          <w:rFonts w:ascii="Calibri" w:hAnsi="Calibri"/>
          <w:sz w:val="22"/>
          <w:lang w:val="en-US" w:eastAsia="ar-SA"/>
        </w:rPr>
        <w:t xml:space="preserve"> </w:t>
      </w:r>
      <w:r w:rsidRPr="002C42C0">
        <w:rPr>
          <w:rFonts w:ascii="Calibri" w:hAnsi="Calibri"/>
          <w:sz w:val="22"/>
          <w:lang w:val="en-US" w:eastAsia="ar-SA"/>
        </w:rPr>
        <w:t>The only RNAs</w:t>
      </w:r>
      <w:r>
        <w:rPr>
          <w:rFonts w:ascii="Calibri" w:hAnsi="Calibri"/>
          <w:sz w:val="22"/>
          <w:lang w:val="en-US" w:eastAsia="ar-SA"/>
        </w:rPr>
        <w:t xml:space="preserve"> </w:t>
      </w:r>
      <w:r w:rsidRPr="002C42C0">
        <w:rPr>
          <w:rFonts w:ascii="Calibri" w:hAnsi="Calibri"/>
          <w:sz w:val="22"/>
          <w:lang w:val="en-US" w:eastAsia="ar-SA"/>
        </w:rPr>
        <w:t>produced from these deleted templates</w:t>
      </w:r>
      <w:r>
        <w:rPr>
          <w:rFonts w:ascii="Calibri" w:hAnsi="Calibri"/>
          <w:sz w:val="22"/>
          <w:lang w:val="en-US" w:eastAsia="ar-SA"/>
        </w:rPr>
        <w:t xml:space="preserve"> </w:t>
      </w:r>
      <w:r w:rsidRPr="002C42C0">
        <w:rPr>
          <w:rFonts w:ascii="Calibri" w:hAnsi="Calibri"/>
          <w:sz w:val="22"/>
          <w:lang w:val="en-US" w:eastAsia="ar-SA"/>
        </w:rPr>
        <w:t>were double-stranded (ds) RNAs</w:t>
      </w:r>
      <w:r>
        <w:rPr>
          <w:rFonts w:ascii="Calibri" w:hAnsi="Calibri"/>
          <w:sz w:val="22"/>
          <w:lang w:val="en-US" w:eastAsia="ar-SA"/>
        </w:rPr>
        <w:t xml:space="preserve"> </w:t>
      </w:r>
      <w:r w:rsidRPr="002C42C0">
        <w:rPr>
          <w:rFonts w:ascii="Calibri" w:hAnsi="Calibri"/>
          <w:sz w:val="22"/>
          <w:lang w:val="en-US" w:eastAsia="ar-SA"/>
        </w:rPr>
        <w:t xml:space="preserve">[without detectable single-stranded (ss) RNAs], suggesting an abnormal positive- to negative-strand RNA ratio close to 1,similar to the ratios found </w:t>
      </w:r>
      <w:r w:rsidRPr="009A37B8">
        <w:rPr>
          <w:rFonts w:ascii="Calibri" w:hAnsi="Calibri"/>
          <w:i/>
          <w:sz w:val="22"/>
          <w:lang w:val="en-US" w:eastAsia="ar-SA"/>
        </w:rPr>
        <w:t>in vivo</w:t>
      </w:r>
      <w:r>
        <w:rPr>
          <w:rFonts w:ascii="Calibri" w:hAnsi="Calibri"/>
          <w:sz w:val="22"/>
          <w:lang w:val="en-US" w:eastAsia="ar-SA"/>
        </w:rPr>
        <w:t xml:space="preserve"> </w:t>
      </w:r>
      <w:r w:rsidRPr="002C42C0">
        <w:rPr>
          <w:rFonts w:ascii="Calibri" w:hAnsi="Calibri"/>
          <w:sz w:val="22"/>
          <w:lang w:val="en-US" w:eastAsia="ar-SA"/>
        </w:rPr>
        <w:t>for TD viruses</w:t>
      </w:r>
      <w:r w:rsidR="00B43612">
        <w:rPr>
          <w:rFonts w:ascii="Calibri" w:hAnsi="Calibri"/>
          <w:sz w:val="22"/>
          <w:lang w:val="en-US" w:eastAsia="ar-SA"/>
        </w:rPr>
        <w:t xml:space="preserve"> (Figure 6)</w:t>
      </w:r>
      <w:r w:rsidRPr="002C42C0">
        <w:rPr>
          <w:rFonts w:ascii="Calibri" w:hAnsi="Calibri"/>
          <w:sz w:val="22"/>
          <w:lang w:val="en-US" w:eastAsia="ar-SA"/>
        </w:rPr>
        <w:t xml:space="preserve">. </w:t>
      </w:r>
    </w:p>
    <w:p w:rsidR="00D777B8" w:rsidRDefault="00D777B8" w:rsidP="00D777B8">
      <w:pPr>
        <w:ind w:firstLine="708"/>
        <w:jc w:val="both"/>
        <w:rPr>
          <w:rFonts w:ascii="Calibri" w:hAnsi="Calibri"/>
          <w:sz w:val="22"/>
          <w:lang w:val="en-US" w:eastAsia="ar-SA"/>
        </w:rPr>
      </w:pPr>
      <w:r w:rsidRPr="002C42C0">
        <w:rPr>
          <w:rFonts w:ascii="Calibri" w:hAnsi="Calibri"/>
          <w:sz w:val="22"/>
          <w:lang w:val="en-US" w:eastAsia="ar-SA"/>
        </w:rPr>
        <w:t>Partial deletion of the 5’S-L I</w:t>
      </w:r>
      <w:r>
        <w:rPr>
          <w:rFonts w:ascii="Calibri" w:hAnsi="Calibri"/>
          <w:sz w:val="22"/>
          <w:lang w:val="en-US" w:eastAsia="ar-SA"/>
        </w:rPr>
        <w:t xml:space="preserve"> </w:t>
      </w:r>
      <w:r w:rsidRPr="002C42C0">
        <w:rPr>
          <w:rFonts w:ascii="Calibri" w:hAnsi="Calibri"/>
          <w:sz w:val="22"/>
          <w:lang w:val="en-US" w:eastAsia="ar-SA"/>
        </w:rPr>
        <w:t>sequences would be predicted to alter the binding sites of proteins involved in CVB RNA synthesis, possibly providing an explanation for</w:t>
      </w:r>
      <w:r>
        <w:rPr>
          <w:rFonts w:ascii="Calibri" w:hAnsi="Calibri"/>
          <w:sz w:val="22"/>
          <w:lang w:val="en-US" w:eastAsia="ar-SA"/>
        </w:rPr>
        <w:t xml:space="preserve"> </w:t>
      </w:r>
      <w:r w:rsidRPr="002C42C0">
        <w:rPr>
          <w:rFonts w:ascii="Calibri" w:hAnsi="Calibri"/>
          <w:sz w:val="22"/>
          <w:lang w:val="en-US" w:eastAsia="ar-SA"/>
        </w:rPr>
        <w:t>the low levels of TD RNA replication.</w:t>
      </w:r>
      <w:r>
        <w:rPr>
          <w:rFonts w:ascii="Calibri" w:hAnsi="Calibri"/>
          <w:sz w:val="22"/>
          <w:lang w:val="en-US" w:eastAsia="ar-SA"/>
        </w:rPr>
        <w:t xml:space="preserve"> </w:t>
      </w:r>
      <w:r w:rsidRPr="002C42C0">
        <w:rPr>
          <w:rFonts w:ascii="Calibri" w:hAnsi="Calibri"/>
          <w:sz w:val="22"/>
          <w:lang w:val="en-US" w:eastAsia="ar-SA"/>
        </w:rPr>
        <w:t>To address this possibility, we used RNA mobility shift assays to investigate the binding of host protein PCBP2 and viral protein 3CD</w:t>
      </w:r>
      <w:r w:rsidRPr="009A37B8">
        <w:rPr>
          <w:rFonts w:ascii="Calibri" w:hAnsi="Calibri"/>
          <w:sz w:val="22"/>
          <w:vertAlign w:val="superscript"/>
          <w:lang w:val="en-US" w:eastAsia="ar-SA"/>
        </w:rPr>
        <w:t>pro</w:t>
      </w:r>
      <w:r>
        <w:rPr>
          <w:rFonts w:ascii="Calibri" w:hAnsi="Calibri"/>
          <w:sz w:val="22"/>
          <w:lang w:val="en-US" w:eastAsia="ar-SA"/>
        </w:rPr>
        <w:t xml:space="preserve"> </w:t>
      </w:r>
      <w:r w:rsidRPr="002C42C0">
        <w:rPr>
          <w:rFonts w:ascii="Calibri" w:hAnsi="Calibri"/>
          <w:sz w:val="22"/>
          <w:lang w:val="en-US" w:eastAsia="ar-SA"/>
        </w:rPr>
        <w:t>to the 5’ end of deleted forms of positive-strand RNA. We found that binding of these cellular and viral replication factors was qualitatively conserved for the 5’ terminally deleted viruses, independent of the size of the deletion;</w:t>
      </w:r>
      <w:r>
        <w:rPr>
          <w:rFonts w:ascii="Calibri" w:hAnsi="Calibri"/>
          <w:sz w:val="22"/>
          <w:lang w:val="en-US" w:eastAsia="ar-SA"/>
        </w:rPr>
        <w:t xml:space="preserve"> </w:t>
      </w:r>
      <w:r w:rsidRPr="002C42C0">
        <w:rPr>
          <w:rFonts w:ascii="Calibri" w:hAnsi="Calibri"/>
          <w:sz w:val="22"/>
          <w:lang w:val="en-US" w:eastAsia="ar-SA"/>
        </w:rPr>
        <w:t>however, the stability and/or protein binding affinity of the ribonucleoprotein complexes</w:t>
      </w:r>
      <w:r>
        <w:rPr>
          <w:rFonts w:ascii="Calibri" w:hAnsi="Calibri"/>
          <w:sz w:val="22"/>
          <w:lang w:val="en-US" w:eastAsia="ar-SA"/>
        </w:rPr>
        <w:t xml:space="preserve"> </w:t>
      </w:r>
      <w:r w:rsidRPr="002C42C0">
        <w:rPr>
          <w:rFonts w:ascii="Calibri" w:hAnsi="Calibri"/>
          <w:sz w:val="22"/>
          <w:lang w:val="en-US" w:eastAsia="ar-SA"/>
        </w:rPr>
        <w:t>decreased with the increase in size of the deletion,</w:t>
      </w:r>
      <w:r>
        <w:rPr>
          <w:rFonts w:ascii="Calibri" w:hAnsi="Calibri"/>
          <w:sz w:val="22"/>
          <w:lang w:val="en-US" w:eastAsia="ar-SA"/>
        </w:rPr>
        <w:t xml:space="preserve"> </w:t>
      </w:r>
      <w:r w:rsidRPr="002C42C0">
        <w:rPr>
          <w:rFonts w:ascii="Calibri" w:hAnsi="Calibri"/>
          <w:sz w:val="22"/>
          <w:lang w:val="en-US" w:eastAsia="ar-SA"/>
        </w:rPr>
        <w:t>since they required higher protein concentrations to form</w:t>
      </w:r>
      <w:r w:rsidR="00B43612">
        <w:rPr>
          <w:rFonts w:ascii="Calibri" w:hAnsi="Calibri"/>
          <w:sz w:val="22"/>
          <w:lang w:val="en-US" w:eastAsia="ar-SA"/>
        </w:rPr>
        <w:t xml:space="preserve"> (figure 7)</w:t>
      </w:r>
      <w:r w:rsidRPr="002C42C0">
        <w:rPr>
          <w:rFonts w:ascii="Calibri" w:hAnsi="Calibri"/>
          <w:sz w:val="22"/>
          <w:lang w:val="en-US" w:eastAsia="ar-SA"/>
        </w:rPr>
        <w:t>. Overall, this study</w:t>
      </w:r>
      <w:r>
        <w:rPr>
          <w:rFonts w:ascii="Calibri" w:hAnsi="Calibri"/>
          <w:sz w:val="22"/>
          <w:lang w:val="en-US" w:eastAsia="ar-SA"/>
        </w:rPr>
        <w:t xml:space="preserve"> </w:t>
      </w:r>
      <w:r w:rsidRPr="002C42C0">
        <w:rPr>
          <w:rFonts w:ascii="Calibri" w:hAnsi="Calibri"/>
          <w:sz w:val="22"/>
          <w:lang w:val="en-US" w:eastAsia="ar-SA"/>
        </w:rPr>
        <w:t xml:space="preserve">provides an </w:t>
      </w:r>
      <w:r w:rsidRPr="009A37B8">
        <w:rPr>
          <w:rFonts w:ascii="Calibri" w:hAnsi="Calibri"/>
          <w:i/>
          <w:sz w:val="22"/>
          <w:lang w:val="en-US" w:eastAsia="ar-SA"/>
        </w:rPr>
        <w:t>in vitro</w:t>
      </w:r>
      <w:r>
        <w:rPr>
          <w:rFonts w:ascii="Calibri" w:hAnsi="Calibri"/>
          <w:sz w:val="22"/>
          <w:lang w:val="en-US" w:eastAsia="ar-SA"/>
        </w:rPr>
        <w:t xml:space="preserve"> </w:t>
      </w:r>
      <w:r w:rsidRPr="002C42C0">
        <w:rPr>
          <w:rFonts w:ascii="Calibri" w:hAnsi="Calibri"/>
          <w:sz w:val="22"/>
          <w:lang w:val="en-US" w:eastAsia="ar-SA"/>
        </w:rPr>
        <w:t>analysis</w:t>
      </w:r>
      <w:r>
        <w:rPr>
          <w:rFonts w:ascii="Calibri" w:hAnsi="Calibri"/>
          <w:sz w:val="22"/>
          <w:lang w:val="en-US" w:eastAsia="ar-SA"/>
        </w:rPr>
        <w:t xml:space="preserve"> </w:t>
      </w:r>
      <w:r w:rsidRPr="002C42C0">
        <w:rPr>
          <w:rFonts w:ascii="Calibri" w:hAnsi="Calibri"/>
          <w:sz w:val="22"/>
          <w:lang w:val="en-US" w:eastAsia="ar-SA"/>
        </w:rPr>
        <w:t>of RNP complexes that may be involved in</w:t>
      </w:r>
      <w:r>
        <w:rPr>
          <w:rFonts w:ascii="Calibri" w:hAnsi="Calibri"/>
          <w:sz w:val="22"/>
          <w:lang w:val="en-US" w:eastAsia="ar-SA"/>
        </w:rPr>
        <w:t xml:space="preserve"> </w:t>
      </w:r>
      <w:r w:rsidRPr="002C42C0">
        <w:rPr>
          <w:rFonts w:ascii="Calibri" w:hAnsi="Calibri"/>
          <w:sz w:val="22"/>
          <w:lang w:val="en-US" w:eastAsia="ar-SA"/>
        </w:rPr>
        <w:t xml:space="preserve">persistent forms of CVB3 observed </w:t>
      </w:r>
      <w:r w:rsidRPr="009A37B8">
        <w:rPr>
          <w:rFonts w:ascii="Calibri" w:hAnsi="Calibri"/>
          <w:i/>
          <w:sz w:val="22"/>
          <w:lang w:val="en-US" w:eastAsia="ar-SA"/>
        </w:rPr>
        <w:t>in vivo</w:t>
      </w:r>
      <w:r>
        <w:rPr>
          <w:rFonts w:ascii="Calibri" w:hAnsi="Calibri"/>
          <w:sz w:val="22"/>
          <w:lang w:val="en-US" w:eastAsia="ar-SA"/>
        </w:rPr>
        <w:t xml:space="preserve"> </w:t>
      </w:r>
      <w:r w:rsidRPr="002C42C0">
        <w:rPr>
          <w:rFonts w:ascii="Calibri" w:hAnsi="Calibri"/>
          <w:sz w:val="22"/>
          <w:lang w:val="en-US" w:eastAsia="ar-SA"/>
        </w:rPr>
        <w:t>from heart tissues. Our data provide a possible explanation for</w:t>
      </w:r>
      <w:r>
        <w:rPr>
          <w:rFonts w:ascii="Calibri" w:hAnsi="Calibri"/>
          <w:sz w:val="22"/>
          <w:lang w:val="en-US" w:eastAsia="ar-SA"/>
        </w:rPr>
        <w:t xml:space="preserve"> </w:t>
      </w:r>
      <w:r w:rsidRPr="002C42C0">
        <w:rPr>
          <w:rFonts w:ascii="Calibri" w:hAnsi="Calibri"/>
          <w:sz w:val="22"/>
          <w:lang w:val="en-US" w:eastAsia="ar-SA"/>
        </w:rPr>
        <w:t>the low levels of RNA replication of deleted strains as a result of the consequences of the deletions on the formation of the RNP complex. In addition, these data raise the question of the capacity of some of the deleted strains to replicate autonomously,</w:t>
      </w:r>
      <w:r>
        <w:rPr>
          <w:rFonts w:ascii="Calibri" w:hAnsi="Calibri"/>
          <w:sz w:val="22"/>
          <w:lang w:val="en-US" w:eastAsia="ar-SA"/>
        </w:rPr>
        <w:t xml:space="preserve"> </w:t>
      </w:r>
      <w:r w:rsidRPr="002C42C0">
        <w:rPr>
          <w:rFonts w:ascii="Calibri" w:hAnsi="Calibri"/>
          <w:sz w:val="22"/>
          <w:lang w:val="en-US" w:eastAsia="ar-SA"/>
        </w:rPr>
        <w:t>since no significant levels of RNA synthesis were detected</w:t>
      </w:r>
      <w:r>
        <w:rPr>
          <w:rFonts w:ascii="Calibri" w:hAnsi="Calibri"/>
          <w:sz w:val="22"/>
          <w:lang w:val="en-US" w:eastAsia="ar-SA"/>
        </w:rPr>
        <w:t xml:space="preserve"> </w:t>
      </w:r>
      <w:r w:rsidRPr="002C42C0">
        <w:rPr>
          <w:rFonts w:ascii="Calibri" w:hAnsi="Calibri"/>
          <w:sz w:val="22"/>
          <w:lang w:val="en-US" w:eastAsia="ar-SA"/>
        </w:rPr>
        <w:t>for 5’ terminal deletions larger than 21 nucleotides.</w:t>
      </w:r>
    </w:p>
    <w:p w:rsidR="001867A1" w:rsidRDefault="00D777B8" w:rsidP="00D777B8">
      <w:pPr>
        <w:ind w:firstLine="708"/>
        <w:jc w:val="both"/>
        <w:rPr>
          <w:rFonts w:ascii="Calibri" w:hAnsi="Calibri"/>
          <w:sz w:val="22"/>
          <w:lang w:val="en-US" w:eastAsia="ar-SA"/>
        </w:rPr>
      </w:pPr>
      <w:r>
        <w:rPr>
          <w:rFonts w:ascii="Calibri" w:hAnsi="Calibri"/>
          <w:sz w:val="22"/>
          <w:lang w:val="en-US" w:eastAsia="ar-SA"/>
        </w:rPr>
        <w:t>In conclusion, d</w:t>
      </w:r>
      <w:r w:rsidRPr="009A37B8">
        <w:rPr>
          <w:rFonts w:ascii="Calibri" w:hAnsi="Calibri"/>
          <w:sz w:val="22"/>
          <w:lang w:val="en-US" w:eastAsia="ar-SA"/>
        </w:rPr>
        <w:t>ilated cardiomyopathy is the leading cause of heart transplantation in developed countries, and coxsackie B viruses are detected in about one third</w:t>
      </w:r>
      <w:r>
        <w:rPr>
          <w:rFonts w:ascii="Calibri" w:hAnsi="Calibri"/>
          <w:sz w:val="22"/>
          <w:lang w:val="en-US" w:eastAsia="ar-SA"/>
        </w:rPr>
        <w:t xml:space="preserve"> </w:t>
      </w:r>
      <w:r w:rsidRPr="009A37B8">
        <w:rPr>
          <w:rFonts w:ascii="Calibri" w:hAnsi="Calibri"/>
          <w:sz w:val="22"/>
          <w:lang w:val="en-US" w:eastAsia="ar-SA"/>
        </w:rPr>
        <w:t>of idiopathic,</w:t>
      </w:r>
      <w:r>
        <w:rPr>
          <w:rFonts w:ascii="Calibri" w:hAnsi="Calibri"/>
          <w:sz w:val="22"/>
          <w:lang w:val="en-US" w:eastAsia="ar-SA"/>
        </w:rPr>
        <w:t xml:space="preserve"> </w:t>
      </w:r>
      <w:r w:rsidRPr="009A37B8">
        <w:rPr>
          <w:rFonts w:ascii="Calibri" w:hAnsi="Calibri"/>
          <w:sz w:val="22"/>
          <w:lang w:val="en-US" w:eastAsia="ar-SA"/>
        </w:rPr>
        <w:t>dilated cardiomyopathies. 5’ terminal deletions of the viral genome involving an RNA secondary structure</w:t>
      </w:r>
      <w:r>
        <w:rPr>
          <w:rFonts w:ascii="Calibri" w:hAnsi="Calibri"/>
          <w:sz w:val="22"/>
          <w:lang w:val="en-US" w:eastAsia="ar-SA"/>
        </w:rPr>
        <w:t xml:space="preserve"> </w:t>
      </w:r>
      <w:r w:rsidRPr="009A37B8">
        <w:rPr>
          <w:rFonts w:ascii="Calibri" w:hAnsi="Calibri"/>
          <w:sz w:val="22"/>
          <w:lang w:val="en-US" w:eastAsia="ar-SA"/>
        </w:rPr>
        <w:t>required for RNA replication</w:t>
      </w:r>
      <w:r>
        <w:rPr>
          <w:rFonts w:ascii="Calibri" w:hAnsi="Calibri"/>
          <w:sz w:val="22"/>
          <w:lang w:val="en-US" w:eastAsia="ar-SA"/>
        </w:rPr>
        <w:t xml:space="preserve"> </w:t>
      </w:r>
      <w:r w:rsidRPr="009A37B8">
        <w:rPr>
          <w:rFonts w:ascii="Calibri" w:hAnsi="Calibri"/>
          <w:sz w:val="22"/>
          <w:lang w:val="en-US" w:eastAsia="ar-SA"/>
        </w:rPr>
        <w:t>have been recently reported as a possible mechanism of virus persistence in the human heart. These mutations are likely to disrupt the correct folding of an RNA secondary structure required for RNA replication.</w:t>
      </w:r>
      <w:r>
        <w:rPr>
          <w:rFonts w:ascii="Calibri" w:hAnsi="Calibri"/>
          <w:sz w:val="22"/>
          <w:lang w:val="en-US" w:eastAsia="ar-SA"/>
        </w:rPr>
        <w:t xml:space="preserve"> </w:t>
      </w:r>
      <w:r w:rsidRPr="009A37B8">
        <w:rPr>
          <w:rFonts w:ascii="Calibri" w:hAnsi="Calibri"/>
          <w:sz w:val="22"/>
          <w:lang w:val="en-US" w:eastAsia="ar-SA"/>
        </w:rPr>
        <w:t>In this report, we demonstrate that viruses with</w:t>
      </w:r>
      <w:r>
        <w:rPr>
          <w:rFonts w:ascii="Calibri" w:hAnsi="Calibri"/>
          <w:sz w:val="22"/>
          <w:lang w:val="en-US" w:eastAsia="ar-SA"/>
        </w:rPr>
        <w:t xml:space="preserve"> </w:t>
      </w:r>
      <w:r w:rsidRPr="009A37B8">
        <w:rPr>
          <w:rFonts w:ascii="Calibri" w:hAnsi="Calibri"/>
          <w:sz w:val="22"/>
          <w:lang w:val="en-US" w:eastAsia="ar-SA"/>
        </w:rPr>
        <w:t>these 5’ terminally deleted</w:t>
      </w:r>
      <w:r>
        <w:rPr>
          <w:rFonts w:ascii="Calibri" w:hAnsi="Calibri"/>
          <w:sz w:val="22"/>
          <w:lang w:val="en-US" w:eastAsia="ar-SA"/>
        </w:rPr>
        <w:t xml:space="preserve"> </w:t>
      </w:r>
      <w:r w:rsidRPr="009A37B8">
        <w:rPr>
          <w:rFonts w:ascii="Calibri" w:hAnsi="Calibri"/>
          <w:sz w:val="22"/>
          <w:lang w:val="en-US" w:eastAsia="ar-SA"/>
        </w:rPr>
        <w:t>genomic RNAs can synthesize viral proteins and genomic RNAs in human cardiac myocytes. Our results provide a possible connection of the activities directed by viral RNAs harboring 5’ terminal deletions to previous studies linking persistent viruses to dilated cardiomyopathy pathophysiology, viral 2A proteinase-mediated dystrophin cleavage,</w:t>
      </w:r>
      <w:r>
        <w:rPr>
          <w:rFonts w:ascii="Calibri" w:hAnsi="Calibri"/>
          <w:sz w:val="22"/>
          <w:lang w:val="en-US" w:eastAsia="ar-SA"/>
        </w:rPr>
        <w:t xml:space="preserve"> </w:t>
      </w:r>
      <w:r w:rsidRPr="009A37B8">
        <w:rPr>
          <w:rFonts w:ascii="Calibri" w:hAnsi="Calibri"/>
          <w:sz w:val="22"/>
          <w:lang w:val="en-US" w:eastAsia="ar-SA"/>
        </w:rPr>
        <w:t>and local,</w:t>
      </w:r>
      <w:r>
        <w:rPr>
          <w:rFonts w:ascii="Calibri" w:hAnsi="Calibri"/>
          <w:sz w:val="22"/>
          <w:lang w:val="en-US" w:eastAsia="ar-SA"/>
        </w:rPr>
        <w:t xml:space="preserve"> </w:t>
      </w:r>
      <w:r w:rsidRPr="009A37B8">
        <w:rPr>
          <w:rFonts w:ascii="Calibri" w:hAnsi="Calibri"/>
          <w:sz w:val="22"/>
          <w:lang w:val="en-US" w:eastAsia="ar-SA"/>
        </w:rPr>
        <w:t>continuous inflammatory responses responsible for immune-pathological damage. Moreover, we show that the binding of cellular and viral replication factors to viral RNA is conserved despite genomic deletions,</w:t>
      </w:r>
      <w:r>
        <w:rPr>
          <w:rFonts w:ascii="Calibri" w:hAnsi="Calibri"/>
          <w:sz w:val="22"/>
          <w:lang w:val="en-US" w:eastAsia="ar-SA"/>
        </w:rPr>
        <w:t xml:space="preserve"> </w:t>
      </w:r>
      <w:r w:rsidRPr="009A37B8">
        <w:rPr>
          <w:rFonts w:ascii="Calibri" w:hAnsi="Calibri"/>
          <w:sz w:val="22"/>
          <w:lang w:val="en-US" w:eastAsia="ar-SA"/>
        </w:rPr>
        <w:t>but that the impaired RNA synthesis associated with terminally deleted viruses could be due to loss of stability of the ribonucleoprotein complexes formed.</w:t>
      </w:r>
    </w:p>
    <w:p w:rsidR="001867A1" w:rsidRDefault="001867A1" w:rsidP="00D777B8">
      <w:pPr>
        <w:ind w:firstLine="708"/>
        <w:jc w:val="both"/>
        <w:rPr>
          <w:rFonts w:ascii="Calibri" w:hAnsi="Calibri"/>
          <w:sz w:val="22"/>
          <w:lang w:val="en-US" w:eastAsia="ar-SA"/>
        </w:rPr>
        <w:sectPr w:rsidR="001867A1" w:rsidSect="00D6762C">
          <w:pgSz w:w="11900" w:h="16840"/>
          <w:pgMar w:top="1417" w:right="1417" w:bottom="1417" w:left="1417" w:header="708" w:footer="708" w:gutter="0"/>
          <w:cols w:space="708"/>
          <w:docGrid w:linePitch="360"/>
        </w:sectPr>
      </w:pPr>
    </w:p>
    <w:p w:rsidR="005E7B40" w:rsidRPr="00D777B8" w:rsidRDefault="00535299" w:rsidP="005E7B40">
      <w:pPr>
        <w:rPr>
          <w:lang w:val="en-US"/>
        </w:rPr>
      </w:pPr>
      <w:r w:rsidRPr="00535299">
        <w:rPr>
          <w:rFonts w:asciiTheme="majorHAnsi" w:hAnsiTheme="majorHAnsi"/>
          <w:lang w:val="en-US"/>
        </w:rPr>
        <w:t>2. USE AND DISSEMINATION OF FOREGROUND</w:t>
      </w:r>
    </w:p>
    <w:p w:rsidR="00535299" w:rsidRDefault="00535299" w:rsidP="007F0BA2">
      <w:pPr>
        <w:jc w:val="both"/>
        <w:rPr>
          <w:sz w:val="22"/>
          <w:szCs w:val="22"/>
          <w:lang w:val="en-US"/>
        </w:rPr>
      </w:pPr>
      <w:bookmarkStart w:id="0" w:name="_GoBack"/>
    </w:p>
    <w:p w:rsidR="00535299" w:rsidRDefault="00535299" w:rsidP="007F0BA2">
      <w:pPr>
        <w:jc w:val="both"/>
        <w:rPr>
          <w:rFonts w:ascii="Calibri" w:hAnsi="Calibri"/>
          <w:sz w:val="22"/>
          <w:lang w:val="en-US" w:eastAsia="ar-SA"/>
        </w:rPr>
      </w:pPr>
      <w:r w:rsidRPr="00535299">
        <w:rPr>
          <w:rFonts w:ascii="Calibri" w:hAnsi="Calibri"/>
          <w:sz w:val="22"/>
          <w:lang w:val="en-US" w:eastAsia="ar-SA"/>
        </w:rPr>
        <w:t>Section A (public) – DISSEMINATION MEASURES</w:t>
      </w:r>
    </w:p>
    <w:p w:rsidR="00A421B1" w:rsidRDefault="00A421B1" w:rsidP="007F0BA2">
      <w:pPr>
        <w:jc w:val="both"/>
        <w:rPr>
          <w:rFonts w:ascii="Calibri" w:hAnsi="Calibri"/>
          <w:b/>
          <w:sz w:val="22"/>
          <w:lang w:val="en-US" w:eastAsia="ar-SA"/>
        </w:rPr>
      </w:pPr>
    </w:p>
    <w:p w:rsidR="00535299" w:rsidRPr="001867A1" w:rsidRDefault="00535299" w:rsidP="007F0BA2">
      <w:pPr>
        <w:jc w:val="both"/>
        <w:rPr>
          <w:rFonts w:ascii="Calibri" w:hAnsi="Calibri"/>
          <w:b/>
          <w:sz w:val="22"/>
          <w:lang w:val="en-US" w:eastAsia="ar-SA"/>
        </w:rPr>
      </w:pPr>
      <w:r w:rsidRPr="001867A1">
        <w:rPr>
          <w:rFonts w:ascii="Calibri" w:hAnsi="Calibri"/>
          <w:b/>
          <w:sz w:val="22"/>
          <w:lang w:val="en-US" w:eastAsia="ar-SA"/>
        </w:rPr>
        <w:t>Dissemination activities</w:t>
      </w:r>
    </w:p>
    <w:p w:rsidR="001867A1" w:rsidRDefault="001867A1" w:rsidP="007F0BA2">
      <w:pPr>
        <w:jc w:val="both"/>
        <w:rPr>
          <w:rFonts w:ascii="Calibri" w:hAnsi="Calibri"/>
          <w:sz w:val="22"/>
          <w:lang w:val="en-US" w:eastAsia="ar-SA"/>
        </w:rPr>
      </w:pPr>
      <w:r w:rsidRPr="00535299">
        <w:rPr>
          <w:rFonts w:ascii="Calibri" w:hAnsi="Calibri"/>
          <w:sz w:val="22"/>
          <w:lang w:val="en-US" w:eastAsia="ar-SA"/>
        </w:rPr>
        <w:t xml:space="preserve">The original results related to the research conducted under the cardiovir project were presented </w:t>
      </w:r>
      <w:r w:rsidR="00B25E5B">
        <w:rPr>
          <w:rFonts w:ascii="Calibri" w:hAnsi="Calibri"/>
          <w:sz w:val="22"/>
          <w:lang w:val="en-US" w:eastAsia="ar-SA"/>
        </w:rPr>
        <w:t xml:space="preserve">(i) </w:t>
      </w:r>
      <w:r w:rsidRPr="00535299">
        <w:rPr>
          <w:rFonts w:ascii="Calibri" w:hAnsi="Calibri"/>
          <w:sz w:val="22"/>
          <w:lang w:val="en-US" w:eastAsia="ar-SA"/>
        </w:rPr>
        <w:t>during a seminar given February 5th, 2015 in the University of California Irvine</w:t>
      </w:r>
      <w:r w:rsidR="00B25E5B">
        <w:rPr>
          <w:rFonts w:ascii="Calibri" w:hAnsi="Calibri"/>
          <w:sz w:val="22"/>
          <w:lang w:val="en-US" w:eastAsia="ar-SA"/>
        </w:rPr>
        <w:t>, (ii) during a seminar given September 22</w:t>
      </w:r>
      <w:r w:rsidR="00B25E5B" w:rsidRPr="00B25E5B">
        <w:rPr>
          <w:rFonts w:ascii="Calibri" w:hAnsi="Calibri"/>
          <w:sz w:val="22"/>
          <w:vertAlign w:val="superscript"/>
          <w:lang w:val="en-US" w:eastAsia="ar-SA"/>
        </w:rPr>
        <w:t>nd</w:t>
      </w:r>
      <w:r w:rsidR="00B25E5B">
        <w:rPr>
          <w:rFonts w:ascii="Calibri" w:hAnsi="Calibri"/>
          <w:sz w:val="22"/>
          <w:lang w:val="en-US" w:eastAsia="ar-SA"/>
        </w:rPr>
        <w:t>, 2015 in the University of Poitiers and (iii) at the meeting of the French Society for Microbiology (22-23 Marsh 2016) at the Pasteur Institute</w:t>
      </w:r>
      <w:r w:rsidRPr="00535299">
        <w:rPr>
          <w:rFonts w:ascii="Calibri" w:hAnsi="Calibri"/>
          <w:sz w:val="22"/>
          <w:lang w:val="en-US" w:eastAsia="ar-SA"/>
        </w:rPr>
        <w:t>.</w:t>
      </w:r>
    </w:p>
    <w:p w:rsidR="00A421B1" w:rsidRDefault="00A421B1" w:rsidP="007F0BA2">
      <w:pPr>
        <w:jc w:val="both"/>
        <w:rPr>
          <w:rFonts w:ascii="Calibri" w:hAnsi="Calibri"/>
          <w:sz w:val="22"/>
          <w:lang w:val="en-US" w:eastAsia="ar-SA"/>
        </w:rPr>
        <w:sectPr w:rsidR="00A421B1" w:rsidSect="00D6762C">
          <w:pgSz w:w="11900" w:h="16840"/>
          <w:pgMar w:top="1417" w:right="1417" w:bottom="1417" w:left="1417" w:header="708" w:footer="708" w:gutter="0"/>
          <w:cols w:space="708"/>
          <w:docGrid w:linePitch="360"/>
        </w:sectPr>
      </w:pPr>
    </w:p>
    <w:p w:rsidR="00535299" w:rsidRDefault="00535299" w:rsidP="007F0BA2">
      <w:pPr>
        <w:jc w:val="both"/>
        <w:rPr>
          <w:rFonts w:ascii="Calibri" w:hAnsi="Calibri"/>
          <w:b/>
          <w:sz w:val="22"/>
          <w:lang w:val="en-US" w:eastAsia="ar-SA"/>
        </w:rPr>
      </w:pPr>
      <w:r w:rsidRPr="001867A1">
        <w:rPr>
          <w:rFonts w:ascii="Calibri" w:hAnsi="Calibri"/>
          <w:b/>
          <w:sz w:val="22"/>
          <w:lang w:val="en-US" w:eastAsia="ar-SA"/>
        </w:rPr>
        <w:t>Publications</w:t>
      </w:r>
    </w:p>
    <w:p w:rsidR="00BC6FDB" w:rsidRPr="001867A1" w:rsidRDefault="00BC6FDB" w:rsidP="007F0BA2">
      <w:pPr>
        <w:jc w:val="both"/>
        <w:rPr>
          <w:rFonts w:ascii="Calibri" w:hAnsi="Calibri"/>
          <w:b/>
          <w:sz w:val="22"/>
          <w:lang w:val="en-US" w:eastAsia="ar-SA"/>
        </w:rPr>
      </w:pPr>
    </w:p>
    <w:tbl>
      <w:tblPr>
        <w:tblStyle w:val="Grilledutableau"/>
        <w:tblW w:w="15452" w:type="dxa"/>
        <w:jc w:val="center"/>
        <w:tblLayout w:type="fixed"/>
        <w:tblLook w:val="04A0"/>
      </w:tblPr>
      <w:tblGrid>
        <w:gridCol w:w="567"/>
        <w:gridCol w:w="2694"/>
        <w:gridCol w:w="1843"/>
        <w:gridCol w:w="1985"/>
        <w:gridCol w:w="1275"/>
        <w:gridCol w:w="1134"/>
        <w:gridCol w:w="1134"/>
        <w:gridCol w:w="1134"/>
        <w:gridCol w:w="1418"/>
        <w:gridCol w:w="1417"/>
        <w:gridCol w:w="851"/>
      </w:tblGrid>
      <w:tr w:rsidR="001867A1" w:rsidTr="00BC6FDB">
        <w:trPr>
          <w:jc w:val="center"/>
        </w:trPr>
        <w:tc>
          <w:tcPr>
            <w:tcW w:w="15452" w:type="dxa"/>
            <w:gridSpan w:val="11"/>
          </w:tcPr>
          <w:bookmarkEnd w:id="0"/>
          <w:p w:rsidR="001867A1" w:rsidRPr="001867A1" w:rsidRDefault="001867A1" w:rsidP="001867A1">
            <w:pPr>
              <w:jc w:val="center"/>
              <w:rPr>
                <w:rFonts w:ascii="Calibri" w:hAnsi="Calibri"/>
                <w:b/>
                <w:sz w:val="22"/>
                <w:lang w:val="en-US" w:eastAsia="ar-SA"/>
              </w:rPr>
            </w:pPr>
            <w:r w:rsidRPr="001867A1">
              <w:rPr>
                <w:rFonts w:ascii="Calibri" w:hAnsi="Calibri"/>
                <w:b/>
                <w:sz w:val="22"/>
                <w:lang w:val="en-US" w:eastAsia="ar-SA"/>
              </w:rPr>
              <w:t>LIST OF SCIENTIFIC PUBLICATIONS, STARTING WITH THE MOST IMPORTANT ONES</w:t>
            </w:r>
          </w:p>
        </w:tc>
      </w:tr>
      <w:tr w:rsidR="00BC6FDB" w:rsidTr="00BC6FDB">
        <w:trPr>
          <w:jc w:val="center"/>
        </w:trPr>
        <w:tc>
          <w:tcPr>
            <w:tcW w:w="567" w:type="dxa"/>
          </w:tcPr>
          <w:p w:rsidR="001867A1" w:rsidRPr="00BC6FDB" w:rsidRDefault="001867A1" w:rsidP="001867A1">
            <w:pPr>
              <w:autoSpaceDE w:val="0"/>
              <w:autoSpaceDN w:val="0"/>
              <w:adjustRightInd w:val="0"/>
              <w:rPr>
                <w:rFonts w:ascii="Calibri" w:hAnsi="Calibri"/>
                <w:sz w:val="20"/>
                <w:szCs w:val="20"/>
                <w:lang w:val="en-US" w:eastAsia="ar-SA"/>
              </w:rPr>
            </w:pPr>
            <w:r w:rsidRPr="00BC6FDB">
              <w:rPr>
                <w:rFonts w:ascii="Calibri" w:hAnsi="Calibri"/>
                <w:sz w:val="20"/>
                <w:szCs w:val="20"/>
                <w:lang w:val="en-US" w:eastAsia="ar-SA"/>
              </w:rPr>
              <w:t>No.</w:t>
            </w:r>
          </w:p>
        </w:tc>
        <w:tc>
          <w:tcPr>
            <w:tcW w:w="2694" w:type="dxa"/>
          </w:tcPr>
          <w:p w:rsidR="001867A1" w:rsidRPr="00BC6FDB" w:rsidRDefault="001867A1" w:rsidP="001867A1">
            <w:pPr>
              <w:autoSpaceDE w:val="0"/>
              <w:autoSpaceDN w:val="0"/>
              <w:adjustRightInd w:val="0"/>
              <w:rPr>
                <w:rFonts w:ascii="Calibri" w:hAnsi="Calibri"/>
                <w:sz w:val="20"/>
                <w:szCs w:val="20"/>
                <w:lang w:val="en-US" w:eastAsia="ar-SA"/>
              </w:rPr>
            </w:pPr>
            <w:r w:rsidRPr="00BC6FDB">
              <w:rPr>
                <w:rFonts w:ascii="Calibri" w:hAnsi="Calibri"/>
                <w:sz w:val="20"/>
                <w:szCs w:val="20"/>
                <w:lang w:val="en-US" w:eastAsia="ar-SA"/>
              </w:rPr>
              <w:t xml:space="preserve">Title / DOI </w:t>
            </w:r>
          </w:p>
        </w:tc>
        <w:tc>
          <w:tcPr>
            <w:tcW w:w="1843"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Main author</w:t>
            </w:r>
          </w:p>
        </w:tc>
        <w:tc>
          <w:tcPr>
            <w:tcW w:w="1985"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Title of the periodical or the series</w:t>
            </w:r>
          </w:p>
        </w:tc>
        <w:tc>
          <w:tcPr>
            <w:tcW w:w="1275"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Number,</w:t>
            </w:r>
          </w:p>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date or</w:t>
            </w:r>
          </w:p>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frequency</w:t>
            </w:r>
          </w:p>
        </w:tc>
        <w:tc>
          <w:tcPr>
            <w:tcW w:w="1134"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Publisher</w:t>
            </w:r>
          </w:p>
        </w:tc>
        <w:tc>
          <w:tcPr>
            <w:tcW w:w="1134"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Place of publication</w:t>
            </w:r>
          </w:p>
        </w:tc>
        <w:tc>
          <w:tcPr>
            <w:tcW w:w="1134"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Date of</w:t>
            </w:r>
          </w:p>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publication</w:t>
            </w:r>
          </w:p>
        </w:tc>
        <w:tc>
          <w:tcPr>
            <w:tcW w:w="1418" w:type="dxa"/>
          </w:tcPr>
          <w:p w:rsidR="001867A1" w:rsidRPr="00BC6FDB" w:rsidRDefault="001867A1" w:rsidP="001867A1">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Relevant pages</w:t>
            </w:r>
          </w:p>
        </w:tc>
        <w:tc>
          <w:tcPr>
            <w:tcW w:w="1417" w:type="dxa"/>
          </w:tcPr>
          <w:p w:rsidR="001867A1" w:rsidRPr="00BC6FDB" w:rsidRDefault="00BC6FDB" w:rsidP="00BC6FDB">
            <w:pPr>
              <w:autoSpaceDE w:val="0"/>
              <w:autoSpaceDN w:val="0"/>
              <w:adjustRightInd w:val="0"/>
              <w:jc w:val="center"/>
              <w:rPr>
                <w:rFonts w:ascii="Calibri" w:hAnsi="Calibri"/>
                <w:sz w:val="20"/>
                <w:szCs w:val="20"/>
                <w:lang w:val="en-US" w:eastAsia="ar-SA"/>
              </w:rPr>
            </w:pPr>
            <w:r w:rsidRPr="00BC6FDB">
              <w:rPr>
                <w:rFonts w:ascii="Calibri" w:hAnsi="Calibri"/>
                <w:sz w:val="20"/>
                <w:szCs w:val="20"/>
                <w:lang w:val="en-US" w:eastAsia="ar-SA"/>
              </w:rPr>
              <w:t>O</w:t>
            </w:r>
            <w:r w:rsidR="001867A1" w:rsidRPr="00BC6FDB">
              <w:rPr>
                <w:rFonts w:ascii="Calibri" w:hAnsi="Calibri"/>
                <w:sz w:val="20"/>
                <w:szCs w:val="20"/>
                <w:lang w:val="en-US" w:eastAsia="ar-SA"/>
              </w:rPr>
              <w:t>pen</w:t>
            </w:r>
            <w:r w:rsidR="00E8280B" w:rsidRPr="00BC6FDB">
              <w:rPr>
                <w:rFonts w:ascii="Calibri" w:hAnsi="Calibri"/>
                <w:sz w:val="20"/>
                <w:szCs w:val="20"/>
                <w:lang w:val="en-US" w:eastAsia="ar-SA"/>
              </w:rPr>
              <w:t xml:space="preserve"> </w:t>
            </w:r>
            <w:r w:rsidR="001867A1" w:rsidRPr="00BC6FDB">
              <w:rPr>
                <w:rFonts w:ascii="Calibri" w:hAnsi="Calibri"/>
                <w:sz w:val="20"/>
                <w:szCs w:val="20"/>
                <w:lang w:val="en-US" w:eastAsia="ar-SA"/>
              </w:rPr>
              <w:t>access</w:t>
            </w:r>
            <w:r w:rsidRPr="00BC6FDB">
              <w:rPr>
                <w:rFonts w:ascii="Calibri" w:hAnsi="Calibri"/>
                <w:sz w:val="20"/>
                <w:szCs w:val="20"/>
                <w:lang w:val="en-US" w:eastAsia="ar-SA"/>
              </w:rPr>
              <w:t xml:space="preserve"> </w:t>
            </w:r>
            <w:r w:rsidR="001867A1" w:rsidRPr="00BC6FDB">
              <w:rPr>
                <w:rFonts w:ascii="Calibri" w:hAnsi="Calibri"/>
                <w:sz w:val="20"/>
                <w:szCs w:val="20"/>
                <w:lang w:val="en-US" w:eastAsia="ar-SA"/>
              </w:rPr>
              <w:t>?</w:t>
            </w:r>
          </w:p>
        </w:tc>
        <w:tc>
          <w:tcPr>
            <w:tcW w:w="851" w:type="dxa"/>
          </w:tcPr>
          <w:p w:rsidR="001867A1" w:rsidRPr="00BC6FDB" w:rsidRDefault="001867A1" w:rsidP="00993F3E">
            <w:pPr>
              <w:autoSpaceDE w:val="0"/>
              <w:autoSpaceDN w:val="0"/>
              <w:adjustRightInd w:val="0"/>
              <w:rPr>
                <w:rFonts w:ascii="Calibri" w:hAnsi="Calibri"/>
                <w:sz w:val="20"/>
                <w:szCs w:val="20"/>
                <w:lang w:val="en-US" w:eastAsia="ar-SA"/>
              </w:rPr>
            </w:pPr>
            <w:r w:rsidRPr="00BC6FDB">
              <w:rPr>
                <w:rFonts w:ascii="Calibri" w:hAnsi="Calibri"/>
                <w:sz w:val="20"/>
                <w:szCs w:val="20"/>
                <w:lang w:val="en-US" w:eastAsia="ar-SA"/>
              </w:rPr>
              <w:t>Type</w:t>
            </w:r>
          </w:p>
        </w:tc>
      </w:tr>
      <w:tr w:rsidR="00BC6FDB" w:rsidRPr="00E8280B" w:rsidTr="00BC6FDB">
        <w:trPr>
          <w:jc w:val="center"/>
        </w:trPr>
        <w:tc>
          <w:tcPr>
            <w:tcW w:w="567" w:type="dxa"/>
          </w:tcPr>
          <w:p w:rsidR="00F366AA" w:rsidRDefault="00F366AA" w:rsidP="007F0BA2">
            <w:pPr>
              <w:jc w:val="both"/>
              <w:rPr>
                <w:rFonts w:ascii="Calibri" w:hAnsi="Calibri"/>
                <w:sz w:val="22"/>
                <w:lang w:val="en-US" w:eastAsia="ar-SA"/>
              </w:rPr>
            </w:pPr>
            <w:r>
              <w:rPr>
                <w:rFonts w:ascii="Calibri" w:hAnsi="Calibri"/>
                <w:sz w:val="22"/>
                <w:lang w:val="en-US" w:eastAsia="ar-SA"/>
              </w:rPr>
              <w:t>1</w:t>
            </w:r>
          </w:p>
        </w:tc>
        <w:tc>
          <w:tcPr>
            <w:tcW w:w="2694" w:type="dxa"/>
          </w:tcPr>
          <w:p w:rsidR="00F366AA" w:rsidRPr="00CB0A51" w:rsidRDefault="00F366AA" w:rsidP="00BC6FDB">
            <w:pPr>
              <w:rPr>
                <w:rFonts w:ascii="Calibri" w:hAnsi="Calibri"/>
                <w:sz w:val="16"/>
                <w:szCs w:val="16"/>
                <w:lang w:val="en-US" w:eastAsia="ar-SA"/>
              </w:rPr>
            </w:pPr>
            <w:r w:rsidRPr="00CB0A51">
              <w:rPr>
                <w:rFonts w:ascii="Calibri" w:hAnsi="Calibri"/>
                <w:sz w:val="16"/>
                <w:szCs w:val="16"/>
                <w:lang w:val="en-US" w:eastAsia="ar-SA"/>
              </w:rPr>
              <w:t>Functional consequences of RNA 5’ terminal deletions on coxsackievirus B3 RNA replication</w:t>
            </w:r>
          </w:p>
          <w:p w:rsidR="00F366AA" w:rsidRDefault="00F366AA" w:rsidP="00BC6FDB">
            <w:pPr>
              <w:rPr>
                <w:rFonts w:ascii="Calibri" w:hAnsi="Calibri"/>
                <w:sz w:val="16"/>
                <w:szCs w:val="16"/>
                <w:lang w:val="en-US" w:eastAsia="ar-SA"/>
              </w:rPr>
            </w:pPr>
            <w:r w:rsidRPr="00CB0A51">
              <w:rPr>
                <w:rFonts w:ascii="Calibri" w:hAnsi="Calibri"/>
                <w:sz w:val="16"/>
                <w:szCs w:val="16"/>
                <w:lang w:val="en-US" w:eastAsia="ar-SA"/>
              </w:rPr>
              <w:t>and ribonucleoprotein complex formation</w:t>
            </w:r>
            <w:r w:rsidRPr="00CB0A51">
              <w:rPr>
                <w:rFonts w:ascii="Calibri" w:hAnsi="Calibri"/>
                <w:sz w:val="16"/>
                <w:szCs w:val="16"/>
                <w:lang w:val="en-US" w:eastAsia="ar-SA"/>
              </w:rPr>
              <w:t>.</w:t>
            </w:r>
          </w:p>
          <w:p w:rsidR="00BC6FDB" w:rsidRPr="00CB0A51" w:rsidRDefault="00BC6FDB" w:rsidP="00BC6FDB">
            <w:pPr>
              <w:rPr>
                <w:rFonts w:ascii="Calibri" w:hAnsi="Calibri"/>
                <w:sz w:val="16"/>
                <w:szCs w:val="16"/>
                <w:lang w:val="en-US" w:eastAsia="ar-SA"/>
              </w:rPr>
            </w:pPr>
          </w:p>
        </w:tc>
        <w:tc>
          <w:tcPr>
            <w:tcW w:w="1843" w:type="dxa"/>
          </w:tcPr>
          <w:p w:rsidR="00F366AA" w:rsidRPr="00CB0A51" w:rsidRDefault="00F366AA" w:rsidP="00BC6FDB">
            <w:pPr>
              <w:rPr>
                <w:rFonts w:ascii="Calibri" w:hAnsi="Calibri"/>
                <w:sz w:val="16"/>
                <w:szCs w:val="16"/>
                <w:lang w:eastAsia="ar-SA"/>
              </w:rPr>
            </w:pPr>
            <w:r w:rsidRPr="00CB0A51">
              <w:rPr>
                <w:rFonts w:ascii="Calibri" w:hAnsi="Calibri"/>
                <w:sz w:val="16"/>
                <w:szCs w:val="16"/>
                <w:lang w:eastAsia="ar-SA"/>
              </w:rPr>
              <w:t>Lévêque N, Garcia M, Bouin A, Nguyen JHC, MyPhuong T, Andréoletti L, Semler BL.</w:t>
            </w:r>
          </w:p>
        </w:tc>
        <w:tc>
          <w:tcPr>
            <w:tcW w:w="1985"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Journal of Virology</w:t>
            </w:r>
          </w:p>
        </w:tc>
        <w:tc>
          <w:tcPr>
            <w:tcW w:w="1275"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In press</w:t>
            </w:r>
          </w:p>
        </w:tc>
        <w:tc>
          <w:tcPr>
            <w:tcW w:w="1134" w:type="dxa"/>
            <w:vAlign w:val="center"/>
          </w:tcPr>
          <w:p w:rsidR="00F366AA" w:rsidRPr="00CB0A51" w:rsidRDefault="00F366AA" w:rsidP="00BC6FDB">
            <w:pPr>
              <w:jc w:val="center"/>
              <w:rPr>
                <w:rFonts w:ascii="Calibri" w:hAnsi="Calibri"/>
                <w:sz w:val="16"/>
                <w:szCs w:val="16"/>
                <w:lang w:val="en-US" w:eastAsia="ar-SA"/>
              </w:rPr>
            </w:pPr>
            <w:r w:rsidRPr="00CB0A51">
              <w:rPr>
                <w:rFonts w:ascii="Calibri" w:hAnsi="Calibri"/>
                <w:sz w:val="16"/>
                <w:szCs w:val="16"/>
                <w:lang w:val="en-US" w:eastAsia="ar-SA"/>
              </w:rPr>
              <w:t>American Society for Microbiology (ASM)</w:t>
            </w:r>
          </w:p>
        </w:tc>
        <w:tc>
          <w:tcPr>
            <w:tcW w:w="1134" w:type="dxa"/>
            <w:vAlign w:val="center"/>
          </w:tcPr>
          <w:p w:rsidR="00F366AA" w:rsidRPr="00CB0A51" w:rsidRDefault="00F366AA" w:rsidP="00BC6FDB">
            <w:pPr>
              <w:jc w:val="center"/>
              <w:rPr>
                <w:rFonts w:ascii="Calibri" w:hAnsi="Calibri"/>
                <w:sz w:val="16"/>
                <w:szCs w:val="16"/>
                <w:lang w:val="en-US" w:eastAsia="ar-SA"/>
              </w:rPr>
            </w:pPr>
            <w:r w:rsidRPr="00CB0A51">
              <w:rPr>
                <w:rFonts w:ascii="Calibri" w:hAnsi="Calibri"/>
                <w:sz w:val="16"/>
                <w:szCs w:val="16"/>
                <w:lang w:val="en-US" w:eastAsia="ar-SA"/>
              </w:rPr>
              <w:t>United States</w:t>
            </w:r>
          </w:p>
        </w:tc>
        <w:tc>
          <w:tcPr>
            <w:tcW w:w="1134"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In press</w:t>
            </w:r>
          </w:p>
        </w:tc>
        <w:tc>
          <w:tcPr>
            <w:tcW w:w="1418"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In press</w:t>
            </w:r>
          </w:p>
        </w:tc>
        <w:tc>
          <w:tcPr>
            <w:tcW w:w="1417"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Yes</w:t>
            </w:r>
          </w:p>
        </w:tc>
        <w:tc>
          <w:tcPr>
            <w:tcW w:w="851" w:type="dxa"/>
            <w:vAlign w:val="center"/>
          </w:tcPr>
          <w:p w:rsidR="00F366AA" w:rsidRPr="00CB0A51" w:rsidRDefault="00F366AA" w:rsidP="00BC6FDB">
            <w:pPr>
              <w:jc w:val="center"/>
              <w:rPr>
                <w:rFonts w:ascii="Calibri" w:hAnsi="Calibri"/>
                <w:sz w:val="16"/>
                <w:szCs w:val="16"/>
                <w:lang w:eastAsia="ar-SA"/>
              </w:rPr>
            </w:pPr>
            <w:r w:rsidRPr="00CB0A51">
              <w:rPr>
                <w:rFonts w:ascii="Calibri" w:hAnsi="Calibri"/>
                <w:sz w:val="16"/>
                <w:szCs w:val="16"/>
                <w:lang w:eastAsia="ar-SA"/>
              </w:rPr>
              <w:t>Peer-reviewed</w:t>
            </w:r>
          </w:p>
        </w:tc>
      </w:tr>
      <w:tr w:rsidR="00BC6FDB" w:rsidTr="00BC6FDB">
        <w:trPr>
          <w:jc w:val="center"/>
        </w:trPr>
        <w:tc>
          <w:tcPr>
            <w:tcW w:w="567" w:type="dxa"/>
          </w:tcPr>
          <w:p w:rsidR="00E8280B" w:rsidRDefault="00E8280B" w:rsidP="00EF6D10">
            <w:pPr>
              <w:jc w:val="both"/>
              <w:rPr>
                <w:rFonts w:ascii="Calibri" w:hAnsi="Calibri"/>
                <w:sz w:val="22"/>
                <w:lang w:val="en-US" w:eastAsia="ar-SA"/>
              </w:rPr>
            </w:pPr>
            <w:r>
              <w:rPr>
                <w:rFonts w:ascii="Calibri" w:hAnsi="Calibri"/>
                <w:sz w:val="22"/>
                <w:lang w:val="en-US" w:eastAsia="ar-SA"/>
              </w:rPr>
              <w:t>2</w:t>
            </w:r>
          </w:p>
        </w:tc>
        <w:tc>
          <w:tcPr>
            <w:tcW w:w="2694" w:type="dxa"/>
          </w:tcPr>
          <w:p w:rsidR="00E8280B" w:rsidRPr="00CB0A51" w:rsidRDefault="00E8280B" w:rsidP="00BC6FDB">
            <w:pPr>
              <w:rPr>
                <w:rFonts w:ascii="Calibri" w:hAnsi="Calibri"/>
                <w:sz w:val="16"/>
                <w:szCs w:val="16"/>
                <w:lang w:val="en-US" w:eastAsia="ar-SA"/>
              </w:rPr>
            </w:pPr>
            <w:r w:rsidRPr="00CB0A51">
              <w:rPr>
                <w:rFonts w:ascii="Calibri" w:hAnsi="Calibri"/>
                <w:sz w:val="16"/>
                <w:szCs w:val="16"/>
                <w:lang w:val="en-US" w:eastAsia="ar-SA"/>
              </w:rPr>
              <w:t>A 21st century perspective of poliovirus replication.</w:t>
            </w:r>
          </w:p>
          <w:p w:rsidR="00F94A7C" w:rsidRPr="00CB0A51" w:rsidRDefault="00CB0A51" w:rsidP="00BC6FDB">
            <w:pPr>
              <w:rPr>
                <w:rFonts w:ascii="Calibri" w:hAnsi="Calibri"/>
                <w:sz w:val="16"/>
                <w:szCs w:val="16"/>
                <w:lang w:val="en-US" w:eastAsia="ar-SA"/>
              </w:rPr>
            </w:pPr>
            <w:r w:rsidRPr="00CB0A51">
              <w:rPr>
                <w:rFonts w:ascii="Calibri" w:hAnsi="Calibri"/>
                <w:sz w:val="16"/>
                <w:szCs w:val="16"/>
                <w:lang w:val="en-US" w:eastAsia="ar-SA"/>
              </w:rPr>
              <w:t>doi:</w:t>
            </w:r>
            <w:r>
              <w:rPr>
                <w:rFonts w:ascii="Calibri" w:hAnsi="Calibri"/>
                <w:sz w:val="16"/>
                <w:szCs w:val="16"/>
                <w:lang w:val="en-US" w:eastAsia="ar-SA"/>
              </w:rPr>
              <w:t xml:space="preserve"> </w:t>
            </w:r>
            <w:r w:rsidR="00F94A7C" w:rsidRPr="00CB0A51">
              <w:rPr>
                <w:rFonts w:ascii="Calibri" w:hAnsi="Calibri"/>
                <w:sz w:val="16"/>
                <w:szCs w:val="16"/>
                <w:lang w:val="en-US" w:eastAsia="ar-SA"/>
              </w:rPr>
              <w:t>10.1371/journal.ppat.1004825</w:t>
            </w:r>
          </w:p>
        </w:tc>
        <w:tc>
          <w:tcPr>
            <w:tcW w:w="1843" w:type="dxa"/>
          </w:tcPr>
          <w:p w:rsidR="00E8280B" w:rsidRPr="00CB0A51" w:rsidRDefault="00E8280B" w:rsidP="00BC6FDB">
            <w:pPr>
              <w:rPr>
                <w:rFonts w:ascii="Calibri" w:hAnsi="Calibri"/>
                <w:sz w:val="16"/>
                <w:szCs w:val="16"/>
                <w:lang w:val="en-US" w:eastAsia="ar-SA"/>
              </w:rPr>
            </w:pPr>
            <w:r w:rsidRPr="00CB0A51">
              <w:rPr>
                <w:rFonts w:ascii="Calibri" w:hAnsi="Calibri"/>
                <w:sz w:val="16"/>
                <w:szCs w:val="16"/>
                <w:lang w:val="en-US" w:eastAsia="ar-SA"/>
              </w:rPr>
              <w:t>Lévêque N, Semler BL.</w:t>
            </w:r>
          </w:p>
        </w:tc>
        <w:tc>
          <w:tcPr>
            <w:tcW w:w="1985" w:type="dxa"/>
            <w:vAlign w:val="center"/>
          </w:tcPr>
          <w:p w:rsidR="00E8280B" w:rsidRPr="00CB0A51" w:rsidRDefault="00E8280B" w:rsidP="00BC6FDB">
            <w:pPr>
              <w:jc w:val="center"/>
              <w:rPr>
                <w:rFonts w:ascii="Calibri" w:hAnsi="Calibri"/>
                <w:sz w:val="16"/>
                <w:szCs w:val="16"/>
                <w:lang w:val="en-US" w:eastAsia="ar-SA"/>
              </w:rPr>
            </w:pPr>
            <w:r w:rsidRPr="00CB0A51">
              <w:rPr>
                <w:rFonts w:ascii="Calibri" w:hAnsi="Calibri"/>
                <w:sz w:val="16"/>
                <w:szCs w:val="16"/>
                <w:lang w:val="en-US" w:eastAsia="ar-SA"/>
              </w:rPr>
              <w:t>PLoS Pathogen</w:t>
            </w:r>
          </w:p>
        </w:tc>
        <w:tc>
          <w:tcPr>
            <w:tcW w:w="1275"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11(6)</w:t>
            </w:r>
          </w:p>
        </w:tc>
        <w:tc>
          <w:tcPr>
            <w:tcW w:w="1134" w:type="dxa"/>
            <w:vAlign w:val="center"/>
          </w:tcPr>
          <w:p w:rsidR="00E8280B" w:rsidRPr="00CB0A51" w:rsidRDefault="00F94A7C" w:rsidP="00BC6FDB">
            <w:pPr>
              <w:jc w:val="center"/>
              <w:rPr>
                <w:rFonts w:ascii="Calibri" w:hAnsi="Calibri"/>
                <w:sz w:val="16"/>
                <w:szCs w:val="16"/>
                <w:lang w:val="en-US" w:eastAsia="ar-SA"/>
              </w:rPr>
            </w:pPr>
            <w:r w:rsidRPr="00CB0A51">
              <w:rPr>
                <w:rFonts w:ascii="Calibri" w:hAnsi="Calibri"/>
                <w:sz w:val="16"/>
                <w:szCs w:val="16"/>
                <w:lang w:val="en-US" w:eastAsia="ar-SA"/>
              </w:rPr>
              <w:t>Plos</w:t>
            </w:r>
          </w:p>
        </w:tc>
        <w:tc>
          <w:tcPr>
            <w:tcW w:w="1134" w:type="dxa"/>
            <w:vAlign w:val="center"/>
          </w:tcPr>
          <w:p w:rsidR="00E8280B" w:rsidRPr="00CB0A51" w:rsidRDefault="00BD6E50" w:rsidP="00BC6FDB">
            <w:pPr>
              <w:jc w:val="center"/>
              <w:rPr>
                <w:rFonts w:ascii="Calibri" w:hAnsi="Calibri"/>
                <w:sz w:val="16"/>
                <w:szCs w:val="16"/>
                <w:lang w:val="en-US" w:eastAsia="ar-SA"/>
              </w:rPr>
            </w:pPr>
            <w:r w:rsidRPr="00CB0A51">
              <w:rPr>
                <w:rFonts w:ascii="Calibri" w:hAnsi="Calibri"/>
                <w:sz w:val="16"/>
                <w:szCs w:val="16"/>
                <w:lang w:val="en-US" w:eastAsia="ar-SA"/>
              </w:rPr>
              <w:t>United States</w:t>
            </w:r>
          </w:p>
        </w:tc>
        <w:tc>
          <w:tcPr>
            <w:tcW w:w="1134"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2015 Jun 4</w:t>
            </w:r>
          </w:p>
        </w:tc>
        <w:tc>
          <w:tcPr>
            <w:tcW w:w="1418"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e1004825</w:t>
            </w:r>
          </w:p>
        </w:tc>
        <w:tc>
          <w:tcPr>
            <w:tcW w:w="1417"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Yes</w:t>
            </w:r>
          </w:p>
        </w:tc>
        <w:tc>
          <w:tcPr>
            <w:tcW w:w="851"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eastAsia="ar-SA"/>
              </w:rPr>
              <w:t>Peer-reviewed</w:t>
            </w:r>
          </w:p>
        </w:tc>
      </w:tr>
      <w:tr w:rsidR="00BC6FDB" w:rsidTr="00BC6FDB">
        <w:trPr>
          <w:jc w:val="center"/>
        </w:trPr>
        <w:tc>
          <w:tcPr>
            <w:tcW w:w="567" w:type="dxa"/>
          </w:tcPr>
          <w:p w:rsidR="00E8280B" w:rsidRDefault="009541CD" w:rsidP="007F0BA2">
            <w:pPr>
              <w:jc w:val="both"/>
              <w:rPr>
                <w:rFonts w:ascii="Calibri" w:hAnsi="Calibri"/>
                <w:sz w:val="22"/>
                <w:lang w:val="en-US" w:eastAsia="ar-SA"/>
              </w:rPr>
            </w:pPr>
            <w:r>
              <w:rPr>
                <w:rFonts w:ascii="Calibri" w:hAnsi="Calibri"/>
                <w:sz w:val="22"/>
                <w:lang w:val="en-US" w:eastAsia="ar-SA"/>
              </w:rPr>
              <w:t>3</w:t>
            </w:r>
          </w:p>
        </w:tc>
        <w:tc>
          <w:tcPr>
            <w:tcW w:w="2694" w:type="dxa"/>
          </w:tcPr>
          <w:p w:rsidR="00BC6FDB" w:rsidRDefault="009541CD" w:rsidP="00BC6FDB">
            <w:pPr>
              <w:rPr>
                <w:sz w:val="16"/>
                <w:szCs w:val="16"/>
                <w:lang w:val="en-US"/>
              </w:rPr>
            </w:pPr>
            <w:r w:rsidRPr="00CB0A51">
              <w:rPr>
                <w:rFonts w:ascii="Calibri" w:hAnsi="Calibri"/>
                <w:sz w:val="16"/>
                <w:szCs w:val="16"/>
                <w:lang w:val="en-US" w:eastAsia="ar-SA"/>
              </w:rPr>
              <w:t>Construction of a subgenomic CV-B3 replicon expressing emerald green fluorescent protein to assess viral replication of a cardiotropic enterovirus strain in cultured human cells.</w:t>
            </w:r>
            <w:r w:rsidRPr="00CB0A51">
              <w:rPr>
                <w:sz w:val="16"/>
                <w:szCs w:val="16"/>
                <w:lang w:val="en-US"/>
              </w:rPr>
              <w:t xml:space="preserve"> </w:t>
            </w:r>
          </w:p>
          <w:p w:rsidR="00E8280B" w:rsidRPr="00CB0A51" w:rsidRDefault="009541CD" w:rsidP="00BC6FDB">
            <w:pPr>
              <w:rPr>
                <w:rFonts w:ascii="Calibri" w:hAnsi="Calibri"/>
                <w:sz w:val="16"/>
                <w:szCs w:val="16"/>
                <w:lang w:val="en-US" w:eastAsia="ar-SA"/>
              </w:rPr>
            </w:pPr>
            <w:r w:rsidRPr="00CB0A51">
              <w:rPr>
                <w:rFonts w:ascii="Calibri" w:hAnsi="Calibri"/>
                <w:sz w:val="16"/>
                <w:szCs w:val="16"/>
                <w:lang w:val="en-US" w:eastAsia="ar-SA"/>
              </w:rPr>
              <w:t>doi: 10.1016/j.jviromet.2016.01.005.</w:t>
            </w:r>
          </w:p>
        </w:tc>
        <w:tc>
          <w:tcPr>
            <w:tcW w:w="1843" w:type="dxa"/>
          </w:tcPr>
          <w:p w:rsidR="00E8280B" w:rsidRPr="00CB0A51" w:rsidRDefault="009541CD" w:rsidP="00BC6FDB">
            <w:pPr>
              <w:rPr>
                <w:rFonts w:ascii="Calibri" w:hAnsi="Calibri"/>
                <w:sz w:val="16"/>
                <w:szCs w:val="16"/>
                <w:lang w:val="en-US" w:eastAsia="ar-SA"/>
              </w:rPr>
            </w:pPr>
            <w:r w:rsidRPr="00CB0A51">
              <w:rPr>
                <w:rFonts w:ascii="Calibri" w:hAnsi="Calibri"/>
                <w:sz w:val="16"/>
                <w:szCs w:val="16"/>
                <w:lang w:val="en-US" w:eastAsia="ar-SA"/>
              </w:rPr>
              <w:t>Wehbe M, Huguenin A, Lévêque N, Semler BL, Hamze M, Andreoletti L, Bouin A.</w:t>
            </w:r>
          </w:p>
        </w:tc>
        <w:tc>
          <w:tcPr>
            <w:tcW w:w="1985"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Journal of Virol ogical Methods</w:t>
            </w:r>
          </w:p>
        </w:tc>
        <w:tc>
          <w:tcPr>
            <w:tcW w:w="1275"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230</w:t>
            </w:r>
          </w:p>
        </w:tc>
        <w:tc>
          <w:tcPr>
            <w:tcW w:w="1134"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Elsevier</w:t>
            </w:r>
          </w:p>
        </w:tc>
        <w:tc>
          <w:tcPr>
            <w:tcW w:w="1134"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Netherlands</w:t>
            </w:r>
          </w:p>
        </w:tc>
        <w:tc>
          <w:tcPr>
            <w:tcW w:w="1134"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2016 Apr</w:t>
            </w:r>
          </w:p>
        </w:tc>
        <w:tc>
          <w:tcPr>
            <w:tcW w:w="1418"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1-8</w:t>
            </w:r>
          </w:p>
        </w:tc>
        <w:tc>
          <w:tcPr>
            <w:tcW w:w="1417"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Yes</w:t>
            </w:r>
          </w:p>
        </w:tc>
        <w:tc>
          <w:tcPr>
            <w:tcW w:w="851"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eastAsia="ar-SA"/>
              </w:rPr>
              <w:t>Peer-reviewed</w:t>
            </w:r>
          </w:p>
        </w:tc>
      </w:tr>
      <w:tr w:rsidR="00BC6FDB" w:rsidTr="00BC6FDB">
        <w:trPr>
          <w:jc w:val="center"/>
        </w:trPr>
        <w:tc>
          <w:tcPr>
            <w:tcW w:w="567" w:type="dxa"/>
          </w:tcPr>
          <w:p w:rsidR="00E8280B" w:rsidRDefault="009541CD" w:rsidP="007F0BA2">
            <w:pPr>
              <w:jc w:val="both"/>
              <w:rPr>
                <w:rFonts w:ascii="Calibri" w:hAnsi="Calibri"/>
                <w:sz w:val="22"/>
                <w:lang w:val="en-US" w:eastAsia="ar-SA"/>
              </w:rPr>
            </w:pPr>
            <w:r>
              <w:rPr>
                <w:rFonts w:ascii="Calibri" w:hAnsi="Calibri"/>
                <w:sz w:val="22"/>
                <w:lang w:val="en-US" w:eastAsia="ar-SA"/>
              </w:rPr>
              <w:t>4</w:t>
            </w:r>
          </w:p>
        </w:tc>
        <w:tc>
          <w:tcPr>
            <w:tcW w:w="2694" w:type="dxa"/>
          </w:tcPr>
          <w:p w:rsidR="00BC6FDB" w:rsidRDefault="009541CD" w:rsidP="00BC6FDB">
            <w:pPr>
              <w:rPr>
                <w:rFonts w:ascii="Calibri" w:hAnsi="Calibri"/>
                <w:sz w:val="16"/>
                <w:szCs w:val="16"/>
                <w:lang w:val="en-US" w:eastAsia="ar-SA"/>
              </w:rPr>
            </w:pPr>
            <w:r w:rsidRPr="00CB0A51">
              <w:rPr>
                <w:rFonts w:ascii="Calibri" w:hAnsi="Calibri"/>
                <w:sz w:val="16"/>
                <w:szCs w:val="16"/>
                <w:lang w:val="en-US" w:eastAsia="ar-SA"/>
              </w:rPr>
              <w:t xml:space="preserve">Viral Determinants of miR-122-Independent Hepatitis C Virus Replication. </w:t>
            </w:r>
          </w:p>
          <w:p w:rsidR="00BC6FDB" w:rsidRDefault="00BC6FDB" w:rsidP="00BC6FDB">
            <w:pPr>
              <w:rPr>
                <w:rFonts w:ascii="Calibri" w:hAnsi="Calibri"/>
                <w:sz w:val="16"/>
                <w:szCs w:val="16"/>
                <w:lang w:val="en-US" w:eastAsia="ar-SA"/>
              </w:rPr>
            </w:pPr>
          </w:p>
          <w:p w:rsidR="00E8280B" w:rsidRPr="00CB0A51" w:rsidRDefault="009541CD" w:rsidP="00BC6FDB">
            <w:pPr>
              <w:rPr>
                <w:rFonts w:ascii="Calibri" w:hAnsi="Calibri"/>
                <w:sz w:val="16"/>
                <w:szCs w:val="16"/>
                <w:lang w:val="en-US" w:eastAsia="ar-SA"/>
              </w:rPr>
            </w:pPr>
            <w:r w:rsidRPr="00CB0A51">
              <w:rPr>
                <w:rFonts w:ascii="Calibri" w:hAnsi="Calibri"/>
                <w:sz w:val="16"/>
                <w:szCs w:val="16"/>
                <w:lang w:val="en-US" w:eastAsia="ar-SA"/>
              </w:rPr>
              <w:t>doi: 10.1128/mSphere.00009-15</w:t>
            </w:r>
          </w:p>
        </w:tc>
        <w:tc>
          <w:tcPr>
            <w:tcW w:w="1843" w:type="dxa"/>
          </w:tcPr>
          <w:p w:rsidR="00E8280B" w:rsidRPr="00CB0A51" w:rsidRDefault="00CB0A51" w:rsidP="00BC6FDB">
            <w:pPr>
              <w:rPr>
                <w:rFonts w:ascii="Calibri" w:hAnsi="Calibri"/>
                <w:sz w:val="16"/>
                <w:szCs w:val="16"/>
                <w:lang w:val="en-US" w:eastAsia="ar-SA"/>
              </w:rPr>
            </w:pPr>
            <w:r w:rsidRPr="00CB0A51">
              <w:rPr>
                <w:rFonts w:ascii="Calibri" w:hAnsi="Calibri"/>
                <w:sz w:val="16"/>
                <w:szCs w:val="16"/>
                <w:lang w:val="en-US" w:eastAsia="ar-SA"/>
              </w:rPr>
              <w:t>Hopcraft SE, Azarm KD, Israelow B, Lévêque N, Schwarz MC, Hsu TH, Chambers MT, Sourisseau M, Semler BL, Evans MJ.</w:t>
            </w:r>
          </w:p>
        </w:tc>
        <w:tc>
          <w:tcPr>
            <w:tcW w:w="1985"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mSphere</w:t>
            </w:r>
          </w:p>
        </w:tc>
        <w:tc>
          <w:tcPr>
            <w:tcW w:w="1275"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pii</w:t>
            </w:r>
          </w:p>
        </w:tc>
        <w:tc>
          <w:tcPr>
            <w:tcW w:w="1134"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ASM</w:t>
            </w:r>
          </w:p>
        </w:tc>
        <w:tc>
          <w:tcPr>
            <w:tcW w:w="1134"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United States</w:t>
            </w:r>
          </w:p>
        </w:tc>
        <w:tc>
          <w:tcPr>
            <w:tcW w:w="1134" w:type="dxa"/>
            <w:vAlign w:val="center"/>
          </w:tcPr>
          <w:p w:rsidR="00E8280B" w:rsidRPr="00CB0A51" w:rsidRDefault="009541CD" w:rsidP="00BC6FDB">
            <w:pPr>
              <w:jc w:val="center"/>
              <w:rPr>
                <w:rFonts w:ascii="Calibri" w:hAnsi="Calibri"/>
                <w:sz w:val="16"/>
                <w:szCs w:val="16"/>
                <w:lang w:val="en-US" w:eastAsia="ar-SA"/>
              </w:rPr>
            </w:pPr>
            <w:r w:rsidRPr="00CB0A51">
              <w:rPr>
                <w:rFonts w:ascii="Calibri" w:hAnsi="Calibri"/>
                <w:sz w:val="16"/>
                <w:szCs w:val="16"/>
                <w:lang w:val="en-US" w:eastAsia="ar-SA"/>
              </w:rPr>
              <w:t>2015 Nov 25</w:t>
            </w:r>
          </w:p>
        </w:tc>
        <w:tc>
          <w:tcPr>
            <w:tcW w:w="1418"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e00009-15.</w:t>
            </w:r>
          </w:p>
        </w:tc>
        <w:tc>
          <w:tcPr>
            <w:tcW w:w="1417"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val="en-US" w:eastAsia="ar-SA"/>
              </w:rPr>
              <w:t>Yes</w:t>
            </w:r>
          </w:p>
        </w:tc>
        <w:tc>
          <w:tcPr>
            <w:tcW w:w="851" w:type="dxa"/>
            <w:vAlign w:val="center"/>
          </w:tcPr>
          <w:p w:rsidR="00E8280B" w:rsidRPr="00CB0A51" w:rsidRDefault="00CB0A51" w:rsidP="00BC6FDB">
            <w:pPr>
              <w:jc w:val="center"/>
              <w:rPr>
                <w:rFonts w:ascii="Calibri" w:hAnsi="Calibri"/>
                <w:sz w:val="16"/>
                <w:szCs w:val="16"/>
                <w:lang w:val="en-US" w:eastAsia="ar-SA"/>
              </w:rPr>
            </w:pPr>
            <w:r w:rsidRPr="00CB0A51">
              <w:rPr>
                <w:rFonts w:ascii="Calibri" w:hAnsi="Calibri"/>
                <w:sz w:val="16"/>
                <w:szCs w:val="16"/>
                <w:lang w:eastAsia="ar-SA"/>
              </w:rPr>
              <w:t>Peer-reviewed</w:t>
            </w:r>
          </w:p>
        </w:tc>
      </w:tr>
    </w:tbl>
    <w:p w:rsidR="005E7B40" w:rsidRPr="00535299" w:rsidRDefault="005E7B40" w:rsidP="007F0BA2">
      <w:pPr>
        <w:jc w:val="both"/>
        <w:rPr>
          <w:rFonts w:ascii="Calibri" w:hAnsi="Calibri"/>
          <w:sz w:val="22"/>
          <w:lang w:val="en-US" w:eastAsia="ar-SA"/>
        </w:rPr>
      </w:pPr>
    </w:p>
    <w:sectPr w:rsidR="005E7B40" w:rsidRPr="00535299" w:rsidSect="001867A1">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278"/>
    <w:multiLevelType w:val="hybridMultilevel"/>
    <w:tmpl w:val="5C1032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FC1607"/>
    <w:multiLevelType w:val="hybridMultilevel"/>
    <w:tmpl w:val="EC1C9D6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5B125D0"/>
    <w:multiLevelType w:val="hybridMultilevel"/>
    <w:tmpl w:val="62026F2E"/>
    <w:lvl w:ilvl="0" w:tplc="AB822F82">
      <w:numFmt w:val="bullet"/>
      <w:lvlText w:val="-"/>
      <w:lvlJc w:val="left"/>
      <w:pPr>
        <w:tabs>
          <w:tab w:val="num" w:pos="4613"/>
        </w:tabs>
        <w:ind w:left="4613" w:hanging="360"/>
      </w:pPr>
      <w:rPr>
        <w:rFonts w:ascii="Times New Roman" w:eastAsia="Times New Roman" w:hAnsi="Times New Roman" w:hint="default"/>
      </w:rPr>
    </w:lvl>
    <w:lvl w:ilvl="1" w:tplc="040C0003" w:tentative="1">
      <w:start w:val="1"/>
      <w:numFmt w:val="bullet"/>
      <w:lvlText w:val="o"/>
      <w:lvlJc w:val="left"/>
      <w:pPr>
        <w:tabs>
          <w:tab w:val="num" w:pos="5409"/>
        </w:tabs>
        <w:ind w:left="5409" w:hanging="360"/>
      </w:pPr>
      <w:rPr>
        <w:rFonts w:ascii="Courier New" w:hAnsi="Courier New" w:hint="default"/>
      </w:rPr>
    </w:lvl>
    <w:lvl w:ilvl="2" w:tplc="040C0005" w:tentative="1">
      <w:start w:val="1"/>
      <w:numFmt w:val="bullet"/>
      <w:lvlText w:val=""/>
      <w:lvlJc w:val="left"/>
      <w:pPr>
        <w:tabs>
          <w:tab w:val="num" w:pos="6129"/>
        </w:tabs>
        <w:ind w:left="6129" w:hanging="360"/>
      </w:pPr>
      <w:rPr>
        <w:rFonts w:ascii="Wingdings" w:hAnsi="Wingdings" w:hint="default"/>
      </w:rPr>
    </w:lvl>
    <w:lvl w:ilvl="3" w:tplc="040C0001" w:tentative="1">
      <w:start w:val="1"/>
      <w:numFmt w:val="bullet"/>
      <w:lvlText w:val=""/>
      <w:lvlJc w:val="left"/>
      <w:pPr>
        <w:tabs>
          <w:tab w:val="num" w:pos="6849"/>
        </w:tabs>
        <w:ind w:left="6849" w:hanging="360"/>
      </w:pPr>
      <w:rPr>
        <w:rFonts w:ascii="Symbol" w:hAnsi="Symbol" w:hint="default"/>
      </w:rPr>
    </w:lvl>
    <w:lvl w:ilvl="4" w:tplc="040C0003" w:tentative="1">
      <w:start w:val="1"/>
      <w:numFmt w:val="bullet"/>
      <w:lvlText w:val="o"/>
      <w:lvlJc w:val="left"/>
      <w:pPr>
        <w:tabs>
          <w:tab w:val="num" w:pos="7569"/>
        </w:tabs>
        <w:ind w:left="7569" w:hanging="360"/>
      </w:pPr>
      <w:rPr>
        <w:rFonts w:ascii="Courier New" w:hAnsi="Courier New" w:hint="default"/>
      </w:rPr>
    </w:lvl>
    <w:lvl w:ilvl="5" w:tplc="040C0005" w:tentative="1">
      <w:start w:val="1"/>
      <w:numFmt w:val="bullet"/>
      <w:lvlText w:val=""/>
      <w:lvlJc w:val="left"/>
      <w:pPr>
        <w:tabs>
          <w:tab w:val="num" w:pos="8289"/>
        </w:tabs>
        <w:ind w:left="8289" w:hanging="360"/>
      </w:pPr>
      <w:rPr>
        <w:rFonts w:ascii="Wingdings" w:hAnsi="Wingdings" w:hint="default"/>
      </w:rPr>
    </w:lvl>
    <w:lvl w:ilvl="6" w:tplc="040C0001" w:tentative="1">
      <w:start w:val="1"/>
      <w:numFmt w:val="bullet"/>
      <w:lvlText w:val=""/>
      <w:lvlJc w:val="left"/>
      <w:pPr>
        <w:tabs>
          <w:tab w:val="num" w:pos="9009"/>
        </w:tabs>
        <w:ind w:left="9009" w:hanging="360"/>
      </w:pPr>
      <w:rPr>
        <w:rFonts w:ascii="Symbol" w:hAnsi="Symbol" w:hint="default"/>
      </w:rPr>
    </w:lvl>
    <w:lvl w:ilvl="7" w:tplc="040C0003" w:tentative="1">
      <w:start w:val="1"/>
      <w:numFmt w:val="bullet"/>
      <w:lvlText w:val="o"/>
      <w:lvlJc w:val="left"/>
      <w:pPr>
        <w:tabs>
          <w:tab w:val="num" w:pos="9729"/>
        </w:tabs>
        <w:ind w:left="9729" w:hanging="360"/>
      </w:pPr>
      <w:rPr>
        <w:rFonts w:ascii="Courier New" w:hAnsi="Courier New" w:hint="default"/>
      </w:rPr>
    </w:lvl>
    <w:lvl w:ilvl="8" w:tplc="040C0005" w:tentative="1">
      <w:start w:val="1"/>
      <w:numFmt w:val="bullet"/>
      <w:lvlText w:val=""/>
      <w:lvlJc w:val="left"/>
      <w:pPr>
        <w:tabs>
          <w:tab w:val="num" w:pos="10449"/>
        </w:tabs>
        <w:ind w:left="10449" w:hanging="360"/>
      </w:pPr>
      <w:rPr>
        <w:rFonts w:ascii="Wingdings" w:hAnsi="Wingdings" w:hint="default"/>
      </w:rPr>
    </w:lvl>
  </w:abstractNum>
  <w:abstractNum w:abstractNumId="3">
    <w:nsid w:val="3DC31736"/>
    <w:multiLevelType w:val="hybridMultilevel"/>
    <w:tmpl w:val="2924B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11AC6"/>
    <w:multiLevelType w:val="hybridMultilevel"/>
    <w:tmpl w:val="A13E5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83396C"/>
    <w:multiLevelType w:val="hybridMultilevel"/>
    <w:tmpl w:val="3AD8D2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0B5394"/>
    <w:multiLevelType w:val="hybridMultilevel"/>
    <w:tmpl w:val="53845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D471E9"/>
    <w:multiLevelType w:val="hybridMultilevel"/>
    <w:tmpl w:val="08C82FC0"/>
    <w:lvl w:ilvl="0" w:tplc="A622152E">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savePreviewPicture/>
  <w:compat>
    <w:useFELayout/>
  </w:compat>
  <w:rsids>
    <w:rsidRoot w:val="00E774BC"/>
    <w:rsid w:val="00097FA1"/>
    <w:rsid w:val="000C69DC"/>
    <w:rsid w:val="000E4F35"/>
    <w:rsid w:val="000F1A3E"/>
    <w:rsid w:val="000F243C"/>
    <w:rsid w:val="00105847"/>
    <w:rsid w:val="00112902"/>
    <w:rsid w:val="001448AE"/>
    <w:rsid w:val="001652B8"/>
    <w:rsid w:val="00173256"/>
    <w:rsid w:val="001867A1"/>
    <w:rsid w:val="001916DD"/>
    <w:rsid w:val="001936B7"/>
    <w:rsid w:val="001A5913"/>
    <w:rsid w:val="001C2885"/>
    <w:rsid w:val="001F3568"/>
    <w:rsid w:val="00286ED5"/>
    <w:rsid w:val="002A5AFE"/>
    <w:rsid w:val="002C14F2"/>
    <w:rsid w:val="00336E2A"/>
    <w:rsid w:val="003454EB"/>
    <w:rsid w:val="0039475B"/>
    <w:rsid w:val="003A527C"/>
    <w:rsid w:val="00400E16"/>
    <w:rsid w:val="00410F44"/>
    <w:rsid w:val="00422E02"/>
    <w:rsid w:val="00432D43"/>
    <w:rsid w:val="00495147"/>
    <w:rsid w:val="00535299"/>
    <w:rsid w:val="005C238E"/>
    <w:rsid w:val="005C28E4"/>
    <w:rsid w:val="005E7B40"/>
    <w:rsid w:val="006036DC"/>
    <w:rsid w:val="00615DC2"/>
    <w:rsid w:val="00631BDA"/>
    <w:rsid w:val="00657033"/>
    <w:rsid w:val="00691258"/>
    <w:rsid w:val="006B0352"/>
    <w:rsid w:val="00710369"/>
    <w:rsid w:val="00736468"/>
    <w:rsid w:val="00742CFE"/>
    <w:rsid w:val="00747C39"/>
    <w:rsid w:val="0077518F"/>
    <w:rsid w:val="007B4A35"/>
    <w:rsid w:val="007C2798"/>
    <w:rsid w:val="007D6EE5"/>
    <w:rsid w:val="007E2F63"/>
    <w:rsid w:val="007E3F45"/>
    <w:rsid w:val="007F0BA2"/>
    <w:rsid w:val="0082355F"/>
    <w:rsid w:val="00852926"/>
    <w:rsid w:val="00862081"/>
    <w:rsid w:val="008869A9"/>
    <w:rsid w:val="009541CD"/>
    <w:rsid w:val="00976CFF"/>
    <w:rsid w:val="00993851"/>
    <w:rsid w:val="0099440F"/>
    <w:rsid w:val="0099639D"/>
    <w:rsid w:val="009C1A0E"/>
    <w:rsid w:val="009D156D"/>
    <w:rsid w:val="00A421B1"/>
    <w:rsid w:val="00A9633A"/>
    <w:rsid w:val="00AD4451"/>
    <w:rsid w:val="00B25E5B"/>
    <w:rsid w:val="00B43612"/>
    <w:rsid w:val="00BC6C93"/>
    <w:rsid w:val="00BC6FDB"/>
    <w:rsid w:val="00BD6E50"/>
    <w:rsid w:val="00BE7419"/>
    <w:rsid w:val="00C40AFD"/>
    <w:rsid w:val="00C93976"/>
    <w:rsid w:val="00CA6149"/>
    <w:rsid w:val="00CB0A51"/>
    <w:rsid w:val="00CB25D7"/>
    <w:rsid w:val="00CE5774"/>
    <w:rsid w:val="00D13B74"/>
    <w:rsid w:val="00D25876"/>
    <w:rsid w:val="00D3015C"/>
    <w:rsid w:val="00D30C92"/>
    <w:rsid w:val="00D42CC6"/>
    <w:rsid w:val="00D4608F"/>
    <w:rsid w:val="00D646B7"/>
    <w:rsid w:val="00D6762C"/>
    <w:rsid w:val="00D7252B"/>
    <w:rsid w:val="00D777B8"/>
    <w:rsid w:val="00D860DB"/>
    <w:rsid w:val="00DC7E8E"/>
    <w:rsid w:val="00DD17FB"/>
    <w:rsid w:val="00DE328B"/>
    <w:rsid w:val="00DF7957"/>
    <w:rsid w:val="00E313B9"/>
    <w:rsid w:val="00E41B5D"/>
    <w:rsid w:val="00E774BC"/>
    <w:rsid w:val="00E8280B"/>
    <w:rsid w:val="00E96275"/>
    <w:rsid w:val="00EC3E1E"/>
    <w:rsid w:val="00EE014D"/>
    <w:rsid w:val="00F366AA"/>
    <w:rsid w:val="00F53A6A"/>
    <w:rsid w:val="00F84C4D"/>
    <w:rsid w:val="00F94A7C"/>
    <w:rsid w:val="00F953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E"/>
  </w:style>
  <w:style w:type="paragraph" w:styleId="Titre1">
    <w:name w:val="heading 1"/>
    <w:basedOn w:val="Normal"/>
    <w:next w:val="Normal"/>
    <w:link w:val="Titre1Car"/>
    <w:qFormat/>
    <w:rsid w:val="00286ED5"/>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568"/>
    <w:pPr>
      <w:ind w:left="720"/>
      <w:contextualSpacing/>
    </w:pPr>
    <w:rPr>
      <w:rFonts w:ascii="Times New Roman" w:eastAsia="Times New Roman" w:hAnsi="Times New Roman" w:cs="Times New Roman"/>
    </w:rPr>
  </w:style>
  <w:style w:type="character" w:styleId="Lienhypertexte">
    <w:name w:val="Hyperlink"/>
    <w:basedOn w:val="Policepardfaut"/>
    <w:uiPriority w:val="99"/>
    <w:unhideWhenUsed/>
    <w:rsid w:val="00105847"/>
    <w:rPr>
      <w:color w:val="0000FF" w:themeColor="hyperlink"/>
      <w:u w:val="single"/>
    </w:rPr>
  </w:style>
  <w:style w:type="character" w:customStyle="1" w:styleId="Titre1Car">
    <w:name w:val="Titre 1 Car"/>
    <w:basedOn w:val="Policepardfaut"/>
    <w:link w:val="Titre1"/>
    <w:rsid w:val="00286ED5"/>
    <w:rPr>
      <w:rFonts w:ascii="Cambria" w:eastAsia="Times New Roman" w:hAnsi="Cambria" w:cs="Times New Roman"/>
      <w:b/>
      <w:bCs/>
      <w:kern w:val="32"/>
      <w:sz w:val="32"/>
      <w:szCs w:val="32"/>
    </w:rPr>
  </w:style>
  <w:style w:type="table" w:styleId="Grilledutableau">
    <w:name w:val="Table Grid"/>
    <w:basedOn w:val="TableauNormal"/>
    <w:uiPriority w:val="59"/>
    <w:rsid w:val="001867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86ED5"/>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568"/>
    <w:pPr>
      <w:ind w:left="720"/>
      <w:contextualSpacing/>
    </w:pPr>
    <w:rPr>
      <w:rFonts w:ascii="Times New Roman" w:eastAsia="Times New Roman" w:hAnsi="Times New Roman" w:cs="Times New Roman"/>
    </w:rPr>
  </w:style>
  <w:style w:type="character" w:styleId="Lienhypertexte">
    <w:name w:val="Hyperlink"/>
    <w:basedOn w:val="Policepardfaut"/>
    <w:uiPriority w:val="99"/>
    <w:unhideWhenUsed/>
    <w:rsid w:val="00105847"/>
    <w:rPr>
      <w:color w:val="0000FF" w:themeColor="hyperlink"/>
      <w:u w:val="single"/>
    </w:rPr>
  </w:style>
  <w:style w:type="character" w:customStyle="1" w:styleId="Titre1Car">
    <w:name w:val="Titre 1 Car"/>
    <w:basedOn w:val="Policepardfaut"/>
    <w:link w:val="Titre1"/>
    <w:rsid w:val="00286ED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9620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Reims</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Leveque</dc:creator>
  <cp:keywords/>
  <dc:description/>
  <cp:lastModifiedBy>LEVEQUE Nicolas</cp:lastModifiedBy>
  <cp:revision>2</cp:revision>
  <dcterms:created xsi:type="dcterms:W3CDTF">2017-05-10T15:47:00Z</dcterms:created>
  <dcterms:modified xsi:type="dcterms:W3CDTF">2017-05-10T15:47:00Z</dcterms:modified>
</cp:coreProperties>
</file>